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C7FC" w14:textId="5DEF43E5" w:rsidR="00393F77" w:rsidRDefault="008D04D0">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#123-bis</w:t>
      </w:r>
      <w:r>
        <w:rPr>
          <w:sz w:val="24"/>
          <w:lang w:eastAsia="zh-CN"/>
        </w:rPr>
        <w:tab/>
        <w:t xml:space="preserve">                </w:t>
      </w:r>
      <w:r>
        <w:rPr>
          <w:bCs/>
          <w:sz w:val="24"/>
        </w:rPr>
        <w:t xml:space="preserve">                                    R2-23</w:t>
      </w:r>
      <w:r w:rsidR="00B36458">
        <w:rPr>
          <w:bCs/>
          <w:sz w:val="24"/>
        </w:rPr>
        <w:t>10515</w:t>
      </w:r>
    </w:p>
    <w:p w14:paraId="311EFA72" w14:textId="77777777" w:rsidR="00393F77" w:rsidRDefault="008D04D0">
      <w:pPr>
        <w:pStyle w:val="CRCoverPage"/>
        <w:outlineLvl w:val="0"/>
        <w:rPr>
          <w:b/>
          <w:sz w:val="24"/>
        </w:rPr>
      </w:pPr>
      <w:r>
        <w:rPr>
          <w:b/>
          <w:sz w:val="24"/>
        </w:rPr>
        <w:t>Xiamen, China, 9 – 13 October, 2023</w:t>
      </w:r>
    </w:p>
    <w:p w14:paraId="0C7AB079" w14:textId="77777777" w:rsidR="00393F77" w:rsidRDefault="00393F77">
      <w:pPr>
        <w:pStyle w:val="a0"/>
        <w:rPr>
          <w:bCs/>
          <w:sz w:val="24"/>
          <w:lang w:val="en-GB" w:eastAsia="ja-JP"/>
        </w:rPr>
      </w:pPr>
    </w:p>
    <w:p w14:paraId="59D0C941" w14:textId="77777777" w:rsidR="00393F77" w:rsidRDefault="008D04D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7.14.4</w:t>
      </w:r>
    </w:p>
    <w:p w14:paraId="39C59E67" w14:textId="77777777" w:rsidR="00393F77" w:rsidRDefault="008D04D0">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6D5A9C73" w14:textId="77777777" w:rsidR="00393F77" w:rsidRDefault="008D04D0">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w:t>
      </w:r>
      <w:r>
        <w:rPr>
          <w:rFonts w:ascii="Arial" w:hAnsi="Arial" w:cs="Arial" w:hint="eastAsia"/>
          <w:bCs/>
          <w:sz w:val="24"/>
          <w:lang w:eastAsia="zh-CN"/>
        </w:rPr>
        <w:t>QoE</w:t>
      </w:r>
      <w:r>
        <w:rPr>
          <w:rFonts w:ascii="Arial" w:hAnsi="Arial" w:cs="Arial"/>
          <w:bCs/>
          <w:sz w:val="24"/>
        </w:rPr>
        <w:t xml:space="preserve"> measurements in NR-DC</w:t>
      </w:r>
    </w:p>
    <w:bookmarkEnd w:id="1"/>
    <w:p w14:paraId="4830C91C" w14:textId="77777777" w:rsidR="00393F77" w:rsidRDefault="008D04D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2A00F37" w14:textId="77777777" w:rsidR="00393F77" w:rsidRDefault="008D04D0">
      <w:pPr>
        <w:pStyle w:val="1"/>
      </w:pPr>
      <w:r>
        <w:t>Introduction</w:t>
      </w:r>
      <w:bookmarkStart w:id="2" w:name="Proposal_Pattern_Length"/>
    </w:p>
    <w:p w14:paraId="217474DE" w14:textId="77777777" w:rsidR="00393F77" w:rsidRDefault="008D04D0">
      <w:pPr>
        <w:spacing w:after="0"/>
        <w:rPr>
          <w:lang w:val="en-GB" w:eastAsia="zh-CN"/>
        </w:rPr>
      </w:pPr>
      <w:r>
        <w:rPr>
          <w:rFonts w:hint="eastAsia"/>
          <w:lang w:eastAsia="zh-CN"/>
        </w:rPr>
        <w:t>F</w:t>
      </w:r>
      <w:r>
        <w:rPr>
          <w:lang w:eastAsia="zh-CN"/>
        </w:rPr>
        <w:t xml:space="preserve">or QoE measurements for NR-DC, RAN2#123 made some progress [1]. In addition, </w:t>
      </w:r>
      <w:r>
        <w:rPr>
          <w:rFonts w:hint="eastAsia"/>
          <w:lang w:eastAsia="zh-CN"/>
        </w:rPr>
        <w:t>RAN3</w:t>
      </w:r>
      <w:r>
        <w:rPr>
          <w:lang w:eastAsia="zh-CN"/>
        </w:rPr>
        <w:t xml:space="preserve"> </w:t>
      </w:r>
      <w:r>
        <w:rPr>
          <w:rFonts w:hint="eastAsia"/>
          <w:lang w:eastAsia="zh-CN"/>
        </w:rPr>
        <w:t>agreed</w:t>
      </w:r>
      <w:r>
        <w:rPr>
          <w:lang w:eastAsia="zh-CN"/>
        </w:rPr>
        <w:t xml:space="preserve"> on a LS [2] to RAN2, which includes </w:t>
      </w:r>
      <w:r>
        <w:rPr>
          <w:lang w:val="en-GB" w:eastAsia="zh-CN"/>
        </w:rPr>
        <w:t>RAN3 progress on QoE in NR-DC.</w:t>
      </w:r>
    </w:p>
    <w:p w14:paraId="0BB431DB" w14:textId="77777777" w:rsidR="00393F77" w:rsidRDefault="00393F77">
      <w:pPr>
        <w:spacing w:after="0"/>
        <w:rPr>
          <w:lang w:val="en-GB" w:eastAsia="zh-CN"/>
        </w:rPr>
      </w:pPr>
    </w:p>
    <w:p w14:paraId="1AE963CC" w14:textId="77777777" w:rsidR="00393F77" w:rsidRDefault="008D04D0">
      <w:pPr>
        <w:spacing w:after="0"/>
        <w:rPr>
          <w:lang w:val="en-GB" w:eastAsia="zh-CN"/>
        </w:rPr>
      </w:pPr>
      <w:r>
        <w:rPr>
          <w:rFonts w:hint="eastAsia"/>
          <w:lang w:val="en-GB" w:eastAsia="zh-CN"/>
        </w:rPr>
        <w:t>I</w:t>
      </w:r>
      <w:r>
        <w:rPr>
          <w:lang w:val="en-GB" w:eastAsia="zh-CN"/>
        </w:rPr>
        <w:t>n this paper, we discuss the following topics:</w:t>
      </w:r>
    </w:p>
    <w:p w14:paraId="06A6364C" w14:textId="77777777" w:rsidR="00393F77" w:rsidRDefault="008D04D0">
      <w:pPr>
        <w:pStyle w:val="af7"/>
        <w:numPr>
          <w:ilvl w:val="0"/>
          <w:numId w:val="11"/>
        </w:numPr>
        <w:spacing w:after="0"/>
        <w:rPr>
          <w:lang w:val="en-GB"/>
        </w:rPr>
      </w:pPr>
      <w:r>
        <w:rPr>
          <w:rFonts w:hint="eastAsia"/>
          <w:lang w:val="en-GB"/>
        </w:rPr>
        <w:t>I</w:t>
      </w:r>
      <w:r>
        <w:rPr>
          <w:lang w:val="en-GB"/>
        </w:rPr>
        <w:t>mpacts due to the RAN3 LS [2]</w:t>
      </w:r>
    </w:p>
    <w:p w14:paraId="317DA307" w14:textId="77777777" w:rsidR="00393F77" w:rsidRDefault="008D04D0">
      <w:pPr>
        <w:pStyle w:val="af7"/>
        <w:numPr>
          <w:ilvl w:val="0"/>
          <w:numId w:val="11"/>
        </w:numPr>
        <w:spacing w:after="0"/>
        <w:rPr>
          <w:lang w:val="en-GB"/>
        </w:rPr>
      </w:pPr>
      <w:r>
        <w:rPr>
          <w:rFonts w:hint="eastAsia"/>
          <w:lang w:val="en-GB"/>
        </w:rPr>
        <w:t>R</w:t>
      </w:r>
      <w:r>
        <w:rPr>
          <w:lang w:val="en-GB"/>
        </w:rPr>
        <w:t>emaining RAN2 aspects of QoE support in NR-DC</w:t>
      </w:r>
    </w:p>
    <w:p w14:paraId="3BE41DD5" w14:textId="77777777" w:rsidR="00393F77" w:rsidRDefault="00393F77">
      <w:pPr>
        <w:spacing w:after="0"/>
        <w:rPr>
          <w:lang w:eastAsia="zh-CN"/>
        </w:rPr>
      </w:pPr>
    </w:p>
    <w:p w14:paraId="39594980" w14:textId="77777777" w:rsidR="00393F77" w:rsidRDefault="008D04D0">
      <w:pPr>
        <w:pStyle w:val="1"/>
      </w:pPr>
      <w:bookmarkStart w:id="3" w:name="_Toc463066102"/>
      <w:bookmarkStart w:id="4" w:name="_Toc462957202"/>
      <w:bookmarkStart w:id="5" w:name="_Toc462880706"/>
      <w:bookmarkStart w:id="6" w:name="_Toc462960524"/>
      <w:r>
        <w:t>Discussion</w:t>
      </w:r>
    </w:p>
    <w:p w14:paraId="3165742A" w14:textId="77777777" w:rsidR="00393F77" w:rsidRDefault="008D04D0">
      <w:pPr>
        <w:pStyle w:val="2"/>
        <w:ind w:left="567"/>
      </w:pPr>
      <w:r>
        <w:t>Impacts due to the RAN3 LS [2]</w:t>
      </w:r>
    </w:p>
    <w:p w14:paraId="1C263FBC" w14:textId="77777777" w:rsidR="00393F77" w:rsidRDefault="008D04D0">
      <w:pPr>
        <w:spacing w:after="0"/>
        <w:rPr>
          <w:lang w:val="en-GB" w:eastAsia="zh-CN"/>
        </w:rPr>
      </w:pPr>
      <w:r>
        <w:rPr>
          <w:rFonts w:hint="eastAsia"/>
          <w:lang w:val="en-GB" w:eastAsia="zh-CN"/>
        </w:rPr>
        <w:t>I</w:t>
      </w:r>
      <w:r>
        <w:rPr>
          <w:lang w:val="en-GB" w:eastAsia="zh-CN"/>
        </w:rPr>
        <w:t>n the RAN3 LS [2], the following progress has been mentioned, and our views are added here.</w:t>
      </w:r>
    </w:p>
    <w:tbl>
      <w:tblPr>
        <w:tblStyle w:val="af2"/>
        <w:tblW w:w="9350" w:type="dxa"/>
        <w:tblLayout w:type="fixed"/>
        <w:tblLook w:val="04A0" w:firstRow="1" w:lastRow="0" w:firstColumn="1" w:lastColumn="0" w:noHBand="0" w:noVBand="1"/>
      </w:tblPr>
      <w:tblGrid>
        <w:gridCol w:w="4673"/>
        <w:gridCol w:w="4677"/>
      </w:tblGrid>
      <w:tr w:rsidR="00393F77" w14:paraId="1B6007BF" w14:textId="77777777">
        <w:tc>
          <w:tcPr>
            <w:tcW w:w="4673" w:type="dxa"/>
          </w:tcPr>
          <w:p w14:paraId="0267C5EC" w14:textId="77777777" w:rsidR="00393F77" w:rsidRDefault="008D04D0">
            <w:pPr>
              <w:spacing w:after="0"/>
              <w:rPr>
                <w:b/>
                <w:lang w:val="en-GB" w:eastAsia="zh-CN"/>
              </w:rPr>
            </w:pPr>
            <w:r>
              <w:rPr>
                <w:rFonts w:hint="eastAsia"/>
                <w:b/>
                <w:lang w:val="en-GB" w:eastAsia="zh-CN"/>
              </w:rPr>
              <w:t>R</w:t>
            </w:r>
            <w:r>
              <w:rPr>
                <w:b/>
                <w:lang w:val="en-GB" w:eastAsia="zh-CN"/>
              </w:rPr>
              <w:t>AN3 progress</w:t>
            </w:r>
          </w:p>
        </w:tc>
        <w:tc>
          <w:tcPr>
            <w:tcW w:w="4677" w:type="dxa"/>
          </w:tcPr>
          <w:p w14:paraId="6220B22B" w14:textId="77777777" w:rsidR="00393F77" w:rsidRDefault="008D04D0">
            <w:pPr>
              <w:spacing w:after="0"/>
              <w:rPr>
                <w:b/>
                <w:lang w:val="en-GB" w:eastAsia="zh-CN"/>
              </w:rPr>
            </w:pPr>
            <w:r>
              <w:rPr>
                <w:rFonts w:hint="eastAsia"/>
                <w:b/>
                <w:lang w:val="en-GB" w:eastAsia="zh-CN"/>
              </w:rPr>
              <w:t>O</w:t>
            </w:r>
            <w:r>
              <w:rPr>
                <w:b/>
                <w:lang w:val="en-GB" w:eastAsia="zh-CN"/>
              </w:rPr>
              <w:t>ur views</w:t>
            </w:r>
          </w:p>
        </w:tc>
      </w:tr>
      <w:tr w:rsidR="00393F77" w14:paraId="6E02E6B3" w14:textId="77777777">
        <w:tc>
          <w:tcPr>
            <w:tcW w:w="4673" w:type="dxa"/>
          </w:tcPr>
          <w:p w14:paraId="4E15F8FC" w14:textId="77777777" w:rsidR="00393F77" w:rsidRDefault="008D04D0">
            <w:pPr>
              <w:spacing w:after="0"/>
              <w:rPr>
                <w:lang w:val="en-GB" w:eastAsia="zh-CN"/>
              </w:rPr>
            </w:pPr>
            <w:r>
              <w:rPr>
                <w:lang w:val="en-GB" w:eastAsia="zh-CN"/>
              </w:rPr>
              <w:t>For s-based QoE configuration received by MN</w:t>
            </w:r>
          </w:p>
          <w:p w14:paraId="3BFDCA24" w14:textId="77777777" w:rsidR="00393F77" w:rsidRDefault="008D04D0">
            <w:pPr>
              <w:spacing w:after="0"/>
              <w:rPr>
                <w:lang w:val="en-GB" w:eastAsia="zh-CN"/>
              </w:rPr>
            </w:pPr>
            <w:r>
              <w:rPr>
                <w:rFonts w:hint="eastAsia"/>
                <w:lang w:val="en-GB" w:eastAsia="zh-CN"/>
              </w:rPr>
              <w:t>•</w:t>
            </w:r>
            <w:r>
              <w:rPr>
                <w:lang w:val="en-GB" w:eastAsia="zh-CN"/>
              </w:rPr>
              <w:tab/>
              <w:t>MN sends the QoE configuration via SRB1</w:t>
            </w:r>
          </w:p>
          <w:p w14:paraId="1240A4D1" w14:textId="77777777" w:rsidR="00393F77" w:rsidRDefault="008D04D0">
            <w:pPr>
              <w:spacing w:after="0"/>
              <w:rPr>
                <w:lang w:val="en-GB" w:eastAsia="zh-CN"/>
              </w:rPr>
            </w:pPr>
            <w:r>
              <w:rPr>
                <w:rFonts w:hint="eastAsia"/>
                <w:lang w:val="en-GB" w:eastAsia="zh-CN"/>
              </w:rPr>
              <w:t>•</w:t>
            </w:r>
            <w:r>
              <w:rPr>
                <w:lang w:val="en-GB" w:eastAsia="zh-CN"/>
              </w:rPr>
              <w:tab/>
              <w:t>QoE reports can be sent via SRB4 or SRB5</w:t>
            </w:r>
          </w:p>
        </w:tc>
        <w:tc>
          <w:tcPr>
            <w:tcW w:w="4677" w:type="dxa"/>
          </w:tcPr>
          <w:p w14:paraId="54FFA251" w14:textId="77777777" w:rsidR="00393F77" w:rsidRDefault="008D04D0">
            <w:pPr>
              <w:spacing w:after="0"/>
              <w:rPr>
                <w:lang w:val="en-GB" w:eastAsia="zh-CN"/>
              </w:rPr>
            </w:pPr>
            <w:r>
              <w:rPr>
                <w:rFonts w:hint="eastAsia"/>
                <w:lang w:val="en-GB" w:eastAsia="zh-CN"/>
              </w:rPr>
              <w:t>T</w:t>
            </w:r>
            <w:r>
              <w:rPr>
                <w:lang w:val="en-GB" w:eastAsia="zh-CN"/>
              </w:rPr>
              <w:t xml:space="preserve">his bullet is straightforward, and it can be discussed </w:t>
            </w:r>
            <w:r>
              <w:rPr>
                <w:lang w:eastAsia="zh-CN"/>
              </w:rPr>
              <w:t xml:space="preserve">and captured directly </w:t>
            </w:r>
            <w:r>
              <w:rPr>
                <w:lang w:val="en-GB" w:eastAsia="zh-CN"/>
              </w:rPr>
              <w:t xml:space="preserve">in </w:t>
            </w:r>
            <w:r>
              <w:rPr>
                <w:lang w:eastAsia="zh-CN"/>
              </w:rPr>
              <w:t xml:space="preserve">the </w:t>
            </w:r>
            <w:r>
              <w:rPr>
                <w:lang w:val="en-GB" w:eastAsia="zh-CN"/>
              </w:rPr>
              <w:t>running RRC CR.</w:t>
            </w:r>
          </w:p>
        </w:tc>
      </w:tr>
      <w:tr w:rsidR="00393F77" w14:paraId="78DD19B2" w14:textId="77777777">
        <w:tc>
          <w:tcPr>
            <w:tcW w:w="4673" w:type="dxa"/>
          </w:tcPr>
          <w:p w14:paraId="005942BD" w14:textId="77777777" w:rsidR="00393F77" w:rsidRDefault="008D04D0">
            <w:pPr>
              <w:overflowPunct/>
              <w:autoSpaceDE/>
              <w:autoSpaceDN/>
              <w:adjustRightInd/>
              <w:spacing w:after="120" w:line="240" w:lineRule="auto"/>
              <w:rPr>
                <w:lang w:val="en-GB" w:eastAsia="zh-CN"/>
              </w:rPr>
            </w:pPr>
            <w:r>
              <w:rPr>
                <w:rFonts w:eastAsia="等线"/>
                <w:lang w:val="en-GB"/>
              </w:rPr>
              <w:t>WA: The transparent reporting for RVQoE over RRC is not supported.</w:t>
            </w:r>
          </w:p>
        </w:tc>
        <w:tc>
          <w:tcPr>
            <w:tcW w:w="4677" w:type="dxa"/>
          </w:tcPr>
          <w:p w14:paraId="7B61FABD" w14:textId="77777777" w:rsidR="00393F77" w:rsidRDefault="008D04D0">
            <w:pPr>
              <w:spacing w:after="0"/>
              <w:rPr>
                <w:lang w:val="en-GB" w:eastAsia="zh-CN"/>
              </w:rPr>
            </w:pPr>
            <w:r>
              <w:rPr>
                <w:lang w:eastAsia="zh-CN"/>
              </w:rPr>
              <w:t>RAN2#123 assumed to use MeasurementReportAppLayer to let UE send the container QoE reports to the receiving RAN node. With this bullet, the UL RRC message can cover RVQoE.</w:t>
            </w:r>
          </w:p>
        </w:tc>
      </w:tr>
      <w:tr w:rsidR="00393F77" w14:paraId="7EDA3894" w14:textId="77777777">
        <w:tc>
          <w:tcPr>
            <w:tcW w:w="4673" w:type="dxa"/>
          </w:tcPr>
          <w:p w14:paraId="552FC59D" w14:textId="77777777" w:rsidR="00393F77" w:rsidRDefault="008D04D0">
            <w:pPr>
              <w:overflowPunct/>
              <w:autoSpaceDE/>
              <w:autoSpaceDN/>
              <w:adjustRightInd/>
              <w:spacing w:after="120" w:line="240" w:lineRule="auto"/>
              <w:rPr>
                <w:lang w:val="en-GB" w:eastAsia="zh-CN"/>
              </w:rPr>
            </w:pPr>
            <w:r>
              <w:rPr>
                <w:rFonts w:eastAsia="等线"/>
                <w:lang w:val="en-GB"/>
              </w:rPr>
              <w:t>Define two different reporting leg indications for QoE and RVQoE.</w:t>
            </w:r>
          </w:p>
        </w:tc>
        <w:tc>
          <w:tcPr>
            <w:tcW w:w="4677" w:type="dxa"/>
          </w:tcPr>
          <w:p w14:paraId="24BCECEE" w14:textId="77777777" w:rsidR="00393F77" w:rsidRDefault="008D04D0">
            <w:pPr>
              <w:spacing w:after="0"/>
              <w:rPr>
                <w:lang w:val="en-GB" w:eastAsia="zh-CN"/>
              </w:rPr>
            </w:pPr>
            <w:r>
              <w:rPr>
                <w:rFonts w:hint="eastAsia"/>
                <w:lang w:val="en-GB" w:eastAsia="zh-CN"/>
              </w:rPr>
              <w:t>T</w:t>
            </w:r>
            <w:r>
              <w:rPr>
                <w:lang w:val="en-GB" w:eastAsia="zh-CN"/>
              </w:rPr>
              <w:t xml:space="preserve">his bullet is straightforward, and it can be discussed </w:t>
            </w:r>
            <w:r>
              <w:rPr>
                <w:lang w:eastAsia="zh-CN"/>
              </w:rPr>
              <w:t xml:space="preserve">and captured directly </w:t>
            </w:r>
            <w:r>
              <w:rPr>
                <w:lang w:val="en-GB" w:eastAsia="zh-CN"/>
              </w:rPr>
              <w:t xml:space="preserve">in </w:t>
            </w:r>
            <w:r>
              <w:rPr>
                <w:lang w:eastAsia="zh-CN"/>
              </w:rPr>
              <w:t xml:space="preserve">the </w:t>
            </w:r>
            <w:r>
              <w:rPr>
                <w:lang w:val="en-GB" w:eastAsia="zh-CN"/>
              </w:rPr>
              <w:t>running RRC CR.</w:t>
            </w:r>
          </w:p>
        </w:tc>
      </w:tr>
      <w:tr w:rsidR="00393F77" w14:paraId="1A724018" w14:textId="77777777">
        <w:tc>
          <w:tcPr>
            <w:tcW w:w="4673" w:type="dxa"/>
          </w:tcPr>
          <w:p w14:paraId="14B988F8" w14:textId="77777777" w:rsidR="00393F77" w:rsidRDefault="008D04D0">
            <w:pPr>
              <w:overflowPunct/>
              <w:autoSpaceDE/>
              <w:autoSpaceDN/>
              <w:adjustRightInd/>
              <w:spacing w:after="120" w:line="240" w:lineRule="auto"/>
              <w:rPr>
                <w:lang w:val="en-GB" w:eastAsia="zh-CN"/>
              </w:rPr>
            </w:pPr>
            <w:r>
              <w:rPr>
                <w:rFonts w:eastAsia="等线"/>
                <w:lang w:val="en-GB"/>
              </w:rPr>
              <w:t>For a UE in NR-DC, each legacy QoE configuration can have only one corresponding RVQoE configuration when needed.</w:t>
            </w:r>
          </w:p>
        </w:tc>
        <w:tc>
          <w:tcPr>
            <w:tcW w:w="4677" w:type="dxa"/>
          </w:tcPr>
          <w:p w14:paraId="2CC847AB" w14:textId="623E7A5F" w:rsidR="00393F77" w:rsidRDefault="008D04D0">
            <w:pPr>
              <w:spacing w:after="0"/>
              <w:rPr>
                <w:lang w:val="en-GB" w:eastAsia="zh-CN"/>
              </w:rPr>
            </w:pPr>
            <w:r>
              <w:rPr>
                <w:rFonts w:hint="eastAsia"/>
                <w:lang w:val="en-GB" w:eastAsia="zh-CN"/>
              </w:rPr>
              <w:t>T</w:t>
            </w:r>
            <w:r>
              <w:rPr>
                <w:lang w:val="en-GB" w:eastAsia="zh-CN"/>
              </w:rPr>
              <w:t xml:space="preserve">his bullet is straightforward, and it can be discussed </w:t>
            </w:r>
            <w:r>
              <w:rPr>
                <w:lang w:eastAsia="zh-CN"/>
              </w:rPr>
              <w:t xml:space="preserve">and captured </w:t>
            </w:r>
            <w:r w:rsidR="004A61E5">
              <w:rPr>
                <w:lang w:eastAsia="zh-CN"/>
              </w:rPr>
              <w:t>directly</w:t>
            </w:r>
            <w:r>
              <w:rPr>
                <w:lang w:eastAsia="zh-CN"/>
              </w:rPr>
              <w:t xml:space="preserve"> </w:t>
            </w:r>
            <w:r>
              <w:rPr>
                <w:lang w:val="en-GB" w:eastAsia="zh-CN"/>
              </w:rPr>
              <w:t>in</w:t>
            </w:r>
            <w:r>
              <w:rPr>
                <w:lang w:eastAsia="zh-CN"/>
              </w:rPr>
              <w:t xml:space="preserve"> the</w:t>
            </w:r>
            <w:r>
              <w:rPr>
                <w:lang w:val="en-GB" w:eastAsia="zh-CN"/>
              </w:rPr>
              <w:t xml:space="preserve"> running RRC CR.</w:t>
            </w:r>
          </w:p>
        </w:tc>
      </w:tr>
    </w:tbl>
    <w:p w14:paraId="2C118B72" w14:textId="77777777" w:rsidR="00393F77" w:rsidRDefault="00393F77">
      <w:pPr>
        <w:spacing w:after="0"/>
        <w:rPr>
          <w:lang w:val="en-GB" w:eastAsia="zh-CN"/>
        </w:rPr>
      </w:pPr>
    </w:p>
    <w:p w14:paraId="381F6D21" w14:textId="77777777" w:rsidR="00393F77" w:rsidRDefault="008D04D0">
      <w:pPr>
        <w:spacing w:after="0"/>
        <w:rPr>
          <w:lang w:val="en-GB" w:eastAsia="zh-CN"/>
        </w:rPr>
      </w:pPr>
      <w:r>
        <w:rPr>
          <w:rFonts w:hint="eastAsia"/>
          <w:lang w:val="en-GB" w:eastAsia="zh-CN"/>
        </w:rPr>
        <w:t>A</w:t>
      </w:r>
      <w:r>
        <w:rPr>
          <w:lang w:val="en-GB" w:eastAsia="zh-CN"/>
        </w:rPr>
        <w:t>t RAN2#123 meeting, RAN2 made the following WA. Since RAN3 assumes that the transparent reporting for RVQoE over RRC is not supported, we think the WA can be revised into an agreement, and RVQoE can be included as well.</w:t>
      </w:r>
    </w:p>
    <w:p w14:paraId="28AA673A" w14:textId="11E98BF2" w:rsidR="00393F77" w:rsidRDefault="008D04D0">
      <w:pPr>
        <w:pStyle w:val="Agreement"/>
        <w:tabs>
          <w:tab w:val="clear" w:pos="-810"/>
          <w:tab w:val="clear" w:pos="1800"/>
          <w:tab w:val="left" w:pos="1619"/>
        </w:tabs>
        <w:spacing w:line="240" w:lineRule="auto"/>
        <w:ind w:left="1619"/>
      </w:pPr>
      <w:r>
        <w:t>1: As working assumption, for encapsulated QoE report associated with the non-receiving RAN node, use option 1 (i.e.</w:t>
      </w:r>
      <w:r w:rsidR="004A61E5">
        <w:t xml:space="preserve"> </w:t>
      </w:r>
      <w:r>
        <w:t xml:space="preserve">MeasurementReportAppLayer message)  </w:t>
      </w:r>
      <w:r>
        <w:lastRenderedPageBreak/>
        <w:t>to send to the receiving RAN node. This can be revisited if RAN3 decisions warrant something different for RVQoE.</w:t>
      </w:r>
    </w:p>
    <w:p w14:paraId="2C46E68D" w14:textId="77777777" w:rsidR="00393F77" w:rsidRDefault="00393F77">
      <w:pPr>
        <w:spacing w:after="0"/>
        <w:rPr>
          <w:lang w:val="en-GB" w:eastAsia="zh-CN"/>
        </w:rPr>
      </w:pPr>
    </w:p>
    <w:p w14:paraId="370777D4" w14:textId="1535C420" w:rsidR="00393F77" w:rsidRDefault="008D04D0" w:rsidP="0077311A">
      <w:pPr>
        <w:spacing w:afterLines="50" w:after="120"/>
        <w:rPr>
          <w:b/>
          <w:lang w:val="en-GB" w:eastAsia="zh-CN"/>
        </w:rPr>
      </w:pPr>
      <w:r>
        <w:rPr>
          <w:rFonts w:hint="eastAsia"/>
          <w:b/>
          <w:lang w:val="en-GB" w:eastAsia="zh-CN"/>
        </w:rPr>
        <w:t>P</w:t>
      </w:r>
      <w:r>
        <w:rPr>
          <w:b/>
          <w:lang w:val="en-GB" w:eastAsia="zh-CN"/>
        </w:rPr>
        <w:t xml:space="preserve">roposal 1: RAN2 to agree that for both encapsulated QoE and RVQoE associated with the non-receiving RAN node, MeasurementReportAppLayer message </w:t>
      </w:r>
      <w:r>
        <w:rPr>
          <w:b/>
          <w:lang w:eastAsia="zh-CN"/>
        </w:rPr>
        <w:t>is used</w:t>
      </w:r>
      <w:r>
        <w:rPr>
          <w:b/>
          <w:lang w:val="en-GB" w:eastAsia="zh-CN"/>
        </w:rPr>
        <w:t xml:space="preserve"> to send</w:t>
      </w:r>
      <w:r>
        <w:rPr>
          <w:b/>
          <w:lang w:eastAsia="zh-CN"/>
        </w:rPr>
        <w:t xml:space="preserve"> the report</w:t>
      </w:r>
      <w:r>
        <w:rPr>
          <w:b/>
          <w:lang w:val="en-GB" w:eastAsia="zh-CN"/>
        </w:rPr>
        <w:t xml:space="preserve"> to the receiving RAN node.</w:t>
      </w:r>
    </w:p>
    <w:p w14:paraId="348CDA3B" w14:textId="77777777" w:rsidR="00393F77" w:rsidRDefault="00393F77">
      <w:pPr>
        <w:spacing w:after="0"/>
        <w:rPr>
          <w:lang w:val="en-GB" w:eastAsia="zh-CN"/>
        </w:rPr>
      </w:pPr>
    </w:p>
    <w:p w14:paraId="1A9CD796" w14:textId="77777777" w:rsidR="00393F77" w:rsidRDefault="00393F77">
      <w:pPr>
        <w:spacing w:after="0"/>
        <w:rPr>
          <w:lang w:val="en-GB" w:eastAsia="zh-CN"/>
        </w:rPr>
      </w:pPr>
    </w:p>
    <w:p w14:paraId="0E075A48" w14:textId="77777777" w:rsidR="00393F77" w:rsidRDefault="008D04D0">
      <w:pPr>
        <w:pStyle w:val="2"/>
        <w:ind w:left="567"/>
      </w:pPr>
      <w:r>
        <w:t>Remaining RAN2 a</w:t>
      </w:r>
      <w:bookmarkStart w:id="7" w:name="_GoBack"/>
      <w:bookmarkEnd w:id="7"/>
      <w:r>
        <w:t>spects</w:t>
      </w:r>
    </w:p>
    <w:p w14:paraId="4B1F25E4" w14:textId="77777777" w:rsidR="00393F77" w:rsidRDefault="008D04D0">
      <w:pPr>
        <w:spacing w:after="0"/>
        <w:rPr>
          <w:lang w:val="en-GB" w:eastAsia="zh-CN"/>
        </w:rPr>
      </w:pPr>
      <w:r>
        <w:rPr>
          <w:lang w:val="en-GB" w:eastAsia="zh-CN"/>
        </w:rPr>
        <w:t>At RAN2#123 meeting, there were two FFSes.</w:t>
      </w:r>
    </w:p>
    <w:p w14:paraId="04FD7C57" w14:textId="77777777" w:rsidR="00393F77" w:rsidRDefault="008D04D0">
      <w:pPr>
        <w:pStyle w:val="Agreement"/>
        <w:tabs>
          <w:tab w:val="clear" w:pos="-810"/>
          <w:tab w:val="clear" w:pos="1800"/>
          <w:tab w:val="left" w:pos="1619"/>
        </w:tabs>
        <w:spacing w:line="240" w:lineRule="auto"/>
        <w:ind w:left="1619"/>
      </w:pPr>
      <w:r>
        <w:t xml:space="preserve">Follow Rel-17 principles: UE indicates data availability for </w:t>
      </w:r>
      <w:r>
        <w:rPr>
          <w:u w:val="single"/>
        </w:rPr>
        <w:t>DRBs</w:t>
      </w:r>
      <w:r>
        <w:t xml:space="preserve"> when requesting SCG activation. It is up to NW implementation to map SRB5 to MN or pause QoE reporting when SCG is deactivated. FFS whether this requires any specification impacts.</w:t>
      </w:r>
    </w:p>
    <w:p w14:paraId="0B97C749" w14:textId="77777777" w:rsidR="00393F77" w:rsidRDefault="008D04D0">
      <w:pPr>
        <w:pStyle w:val="Agreement"/>
        <w:tabs>
          <w:tab w:val="clear" w:pos="-810"/>
          <w:tab w:val="clear" w:pos="1800"/>
          <w:tab w:val="left" w:pos="1619"/>
        </w:tabs>
        <w:spacing w:line="240" w:lineRule="auto"/>
        <w:ind w:left="1619"/>
      </w:pPr>
      <w:bookmarkStart w:id="8" w:name="_Hlk146104089"/>
      <w:r>
        <w:t>UE should not request to activate SCG only for the purpose of QoE reporting via SRB5. FFS for RVQoE reporting.</w:t>
      </w:r>
    </w:p>
    <w:bookmarkEnd w:id="8"/>
    <w:p w14:paraId="58C4FF67" w14:textId="77777777" w:rsidR="00393F77" w:rsidRDefault="00393F77">
      <w:pPr>
        <w:spacing w:after="0"/>
        <w:rPr>
          <w:lang w:val="en-GB" w:eastAsia="zh-CN"/>
        </w:rPr>
      </w:pPr>
    </w:p>
    <w:p w14:paraId="0E640C26" w14:textId="107E6813" w:rsidR="000565F3" w:rsidRDefault="000565F3">
      <w:pPr>
        <w:spacing w:after="0"/>
        <w:rPr>
          <w:lang w:val="en-GB" w:eastAsia="zh-CN"/>
        </w:rPr>
      </w:pPr>
      <w:r>
        <w:rPr>
          <w:lang w:val="en-GB" w:eastAsia="zh-CN"/>
        </w:rPr>
        <w:t>RAN2 made the following agreement</w:t>
      </w:r>
      <w:r w:rsidR="00F04CE7">
        <w:rPr>
          <w:lang w:val="en-GB" w:eastAsia="zh-CN"/>
        </w:rPr>
        <w:t>s</w:t>
      </w:r>
      <w:r>
        <w:rPr>
          <w:lang w:val="en-GB" w:eastAsia="zh-CN"/>
        </w:rPr>
        <w:t xml:space="preserve"> during the RAN2#123 meeting:</w:t>
      </w:r>
    </w:p>
    <w:p w14:paraId="2F32BAFD" w14:textId="5E837846" w:rsidR="000565F3" w:rsidRPr="00F04CE7" w:rsidRDefault="000565F3" w:rsidP="000565F3">
      <w:pPr>
        <w:numPr>
          <w:ilvl w:val="0"/>
          <w:numId w:val="12"/>
        </w:numPr>
        <w:overflowPunct/>
        <w:autoSpaceDE/>
        <w:autoSpaceDN/>
        <w:adjustRightInd/>
        <w:spacing w:before="60" w:after="0" w:line="240" w:lineRule="auto"/>
        <w:ind w:left="540"/>
        <w:textAlignment w:val="center"/>
        <w:rPr>
          <w:rFonts w:ascii="Calibri" w:eastAsia="Times New Roman" w:hAnsi="Calibri" w:cs="Calibri"/>
          <w:sz w:val="22"/>
          <w:szCs w:val="22"/>
          <w:lang w:val="en-GB"/>
        </w:rPr>
      </w:pPr>
      <w:r w:rsidRPr="000565F3">
        <w:rPr>
          <w:rFonts w:ascii="Arial" w:eastAsia="Times New Roman" w:hAnsi="Arial" w:cs="Arial"/>
          <w:lang w:val="en-GB"/>
        </w:rPr>
        <w:t xml:space="preserve">Follow Rel-17 principles: UE indicates data availability for </w:t>
      </w:r>
      <w:r w:rsidRPr="000565F3">
        <w:rPr>
          <w:rFonts w:ascii="Arial" w:eastAsia="Times New Roman" w:hAnsi="Arial" w:cs="Arial"/>
          <w:u w:val="single"/>
          <w:lang w:val="en-GB"/>
        </w:rPr>
        <w:t>DRBs</w:t>
      </w:r>
      <w:r w:rsidRPr="000565F3">
        <w:rPr>
          <w:rFonts w:ascii="Arial" w:eastAsia="Times New Roman" w:hAnsi="Arial" w:cs="Arial"/>
          <w:lang w:val="en-GB"/>
        </w:rPr>
        <w:t xml:space="preserve"> when requesting SCG activation. It is up to NW implementation to map SRB5 to MN or pause QoE reporting when SCG is deactivated. </w:t>
      </w:r>
      <w:r w:rsidRPr="000565F3">
        <w:rPr>
          <w:rFonts w:ascii="Arial" w:eastAsia="Times New Roman" w:hAnsi="Arial" w:cs="Arial"/>
          <w:highlight w:val="yellow"/>
          <w:lang w:val="en-GB"/>
        </w:rPr>
        <w:t>FFS whether this requires any specification impacts.</w:t>
      </w:r>
    </w:p>
    <w:p w14:paraId="74A9F6E9" w14:textId="77F105BC" w:rsidR="00F04CE7" w:rsidRPr="000565F3" w:rsidRDefault="00F04CE7" w:rsidP="000565F3">
      <w:pPr>
        <w:numPr>
          <w:ilvl w:val="0"/>
          <w:numId w:val="12"/>
        </w:numPr>
        <w:overflowPunct/>
        <w:autoSpaceDE/>
        <w:autoSpaceDN/>
        <w:adjustRightInd/>
        <w:spacing w:before="60" w:after="0" w:line="240" w:lineRule="auto"/>
        <w:ind w:left="540"/>
        <w:textAlignment w:val="center"/>
        <w:rPr>
          <w:rFonts w:ascii="Calibri" w:eastAsia="Times New Roman" w:hAnsi="Calibri" w:cs="Calibri"/>
          <w:sz w:val="22"/>
          <w:szCs w:val="22"/>
          <w:lang w:val="en-GB"/>
        </w:rPr>
      </w:pPr>
      <w:r>
        <w:rPr>
          <w:rFonts w:ascii="Arial" w:hAnsi="Arial" w:cs="Arial"/>
          <w:lang w:val="en-GB"/>
        </w:rPr>
        <w:t xml:space="preserve">UE should not request to activate SCG only for the purpose of QoE reporting via SRB5. </w:t>
      </w:r>
      <w:r w:rsidRPr="00F04CE7">
        <w:rPr>
          <w:rFonts w:ascii="Arial" w:hAnsi="Arial" w:cs="Arial"/>
          <w:highlight w:val="yellow"/>
          <w:lang w:val="en-GB"/>
        </w:rPr>
        <w:t>FFS for RVQoE reporting.</w:t>
      </w:r>
    </w:p>
    <w:p w14:paraId="483C43B1" w14:textId="77777777" w:rsidR="000565F3" w:rsidRDefault="000565F3">
      <w:pPr>
        <w:spacing w:after="0"/>
        <w:rPr>
          <w:lang w:val="en-GB" w:eastAsia="zh-CN"/>
        </w:rPr>
      </w:pPr>
    </w:p>
    <w:p w14:paraId="4AFDB797" w14:textId="77777777" w:rsidR="00393F77" w:rsidRDefault="008D04D0">
      <w:pPr>
        <w:spacing w:after="0"/>
        <w:rPr>
          <w:lang w:eastAsia="zh-CN"/>
        </w:rPr>
      </w:pPr>
      <w:r>
        <w:rPr>
          <w:rFonts w:hint="eastAsia"/>
          <w:lang w:val="en-GB" w:eastAsia="zh-CN"/>
        </w:rPr>
        <w:t>I</w:t>
      </w:r>
      <w:r>
        <w:rPr>
          <w:lang w:val="en-GB" w:eastAsia="zh-CN"/>
        </w:rPr>
        <w:t>n TS 38.331, it defines an uplinkData-r17 IE in UEAssistanceInformation message, which is used when a</w:t>
      </w:r>
      <w:r>
        <w:t xml:space="preserve"> UE has uplink data to transmit for a DRB for which there is no MCG RLC bearer while the SCG is deactivated.</w:t>
      </w:r>
    </w:p>
    <w:p w14:paraId="0278F0FA" w14:textId="77777777" w:rsidR="00393F77" w:rsidRDefault="00393F77">
      <w:pPr>
        <w:spacing w:after="0"/>
        <w:rPr>
          <w:lang w:val="en-GB" w:eastAsia="zh-CN"/>
        </w:rPr>
      </w:pPr>
    </w:p>
    <w:p w14:paraId="74C1677B" w14:textId="77777777" w:rsidR="00393F77" w:rsidRDefault="008D04D0">
      <w:pPr>
        <w:spacing w:after="0"/>
        <w:rPr>
          <w:b/>
          <w:lang w:val="en-GB" w:eastAsia="zh-CN"/>
        </w:rPr>
      </w:pPr>
      <w:r>
        <w:rPr>
          <w:rFonts w:hint="eastAsia"/>
          <w:b/>
          <w:lang w:val="en-GB" w:eastAsia="zh-CN"/>
        </w:rPr>
        <w:t>T</w:t>
      </w:r>
      <w:r>
        <w:rPr>
          <w:b/>
          <w:lang w:val="en-GB" w:eastAsia="zh-CN"/>
        </w:rPr>
        <w:t>S 38.331:</w:t>
      </w:r>
    </w:p>
    <w:p w14:paraId="3AABD086"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UEAssistanceInformation-v1700-IEs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C6B7261" w14:textId="3F0C8973"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ul-GapFR2-Preference-r17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710FDAF0"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musim-Assistance-r17                  MUSIM-Assistance-r17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084F1204"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overheatingAssistance-r17             OverheatingAssistance-r17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5C72DB6C"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maxBW-PreferenceFR2-2-r17             MaxBW-PreferenceFR2-2-r17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3D58B260"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maxMIMO-LayerPreferenceFR2-2-r17      MaxMIMO-LayerPreferenceFR2-2-r17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0EBFD52F"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minSchedulingOffsetPreferenceExt-r17  MinSchedulingOffsetPreferenceExt-r17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70622A69"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rlm-MeasRelaxationState-r17           </w:t>
      </w:r>
      <w:r>
        <w:rPr>
          <w:rFonts w:ascii="Courier New" w:eastAsia="Times New Roman" w:hAnsi="Courier New"/>
          <w:color w:val="993366"/>
          <w:sz w:val="16"/>
          <w:lang w:val="en-GB" w:eastAsia="en-GB"/>
        </w:rPr>
        <w:t>BOOLEAN</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01020325"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bfd-MeasRelaxationState-r17           </w:t>
      </w:r>
      <w:r>
        <w:rPr>
          <w:rFonts w:ascii="Courier New" w:eastAsia="Times New Roman" w:hAnsi="Courier New"/>
          <w:color w:val="993366"/>
          <w:sz w:val="16"/>
          <w:lang w:val="en-GB" w:eastAsia="en-GB"/>
        </w:rPr>
        <w:t>BIT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(1..maxNrofServingCells))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453F65CD"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nonSDT-DataIndication-r17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2C314EA1"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resumeCause-r17                       ResumeCause                       </w:t>
      </w:r>
      <w:r>
        <w:rPr>
          <w:rFonts w:ascii="Courier New" w:eastAsia="Times New Roman" w:hAnsi="Courier New"/>
          <w:color w:val="993366"/>
          <w:sz w:val="16"/>
          <w:lang w:val="en-GB" w:eastAsia="en-GB"/>
        </w:rPr>
        <w:t>OPTIONAL</w:t>
      </w:r>
    </w:p>
    <w:p w14:paraId="7AA23DAB"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3D24B864"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scg-DeactivationPreference-r17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scgDeactivationPreferred, noPreference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44C2A420"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 xml:space="preserve">uplinkData-r17                        </w:t>
      </w:r>
      <w:r>
        <w:rPr>
          <w:rFonts w:ascii="Courier New" w:eastAsia="Times New Roman" w:hAnsi="Courier New"/>
          <w:color w:val="993366"/>
          <w:sz w:val="16"/>
          <w:highlight w:val="yellow"/>
          <w:lang w:val="en-GB" w:eastAsia="en-GB"/>
        </w:rPr>
        <w:t>ENUMERATED</w:t>
      </w:r>
      <w:r>
        <w:rPr>
          <w:rFonts w:ascii="Courier New" w:eastAsia="Times New Roman" w:hAnsi="Courier New"/>
          <w:sz w:val="16"/>
          <w:highlight w:val="yellow"/>
          <w:lang w:val="en-GB" w:eastAsia="en-GB"/>
        </w:rPr>
        <w:t xml:space="preserve"> { true }                   </w:t>
      </w:r>
      <w:r>
        <w:rPr>
          <w:rFonts w:ascii="Courier New" w:eastAsia="Times New Roman" w:hAnsi="Courier New"/>
          <w:color w:val="993366"/>
          <w:sz w:val="16"/>
          <w:highlight w:val="yellow"/>
          <w:lang w:val="en-GB" w:eastAsia="en-GB"/>
        </w:rPr>
        <w:t>OPTIONAL</w:t>
      </w:r>
      <w:r>
        <w:rPr>
          <w:rFonts w:ascii="Courier New" w:eastAsia="Times New Roman" w:hAnsi="Courier New"/>
          <w:sz w:val="16"/>
          <w:highlight w:val="yellow"/>
          <w:lang w:val="en-GB" w:eastAsia="en-GB"/>
        </w:rPr>
        <w:t>,</w:t>
      </w:r>
    </w:p>
    <w:p w14:paraId="7A1F4A9F"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rrm-MeasRelaxationFulfilment-r17      </w:t>
      </w:r>
      <w:r>
        <w:rPr>
          <w:rFonts w:ascii="Courier New" w:eastAsia="Times New Roman" w:hAnsi="Courier New"/>
          <w:color w:val="993366"/>
          <w:sz w:val="16"/>
          <w:lang w:val="en-GB" w:eastAsia="en-GB"/>
        </w:rPr>
        <w:t>BOOLEAN</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1D7E9E4A"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propagationDelayDifference-r17        PropagationDelayDifference-r17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1D8B3F59"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nonCriticalExtension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OPTIONAL</w:t>
      </w:r>
    </w:p>
    <w:p w14:paraId="0209F13C" w14:textId="77777777" w:rsidR="00393F77" w:rsidRDefault="008D0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52782B3D" w14:textId="77777777" w:rsidR="00393F77" w:rsidRDefault="00393F77">
      <w:pPr>
        <w:spacing w:after="0"/>
        <w:rPr>
          <w:lang w:val="en-GB" w:eastAsia="zh-CN"/>
        </w:rPr>
      </w:pPr>
    </w:p>
    <w:p w14:paraId="671FB5F3" w14:textId="77777777" w:rsidR="000565F3" w:rsidRPr="000565F3" w:rsidRDefault="000565F3" w:rsidP="000565F3">
      <w:pPr>
        <w:spacing w:after="0"/>
        <w:rPr>
          <w:b/>
          <w:lang w:val="en-GB" w:eastAsia="zh-CN"/>
        </w:rPr>
      </w:pPr>
      <w:r>
        <w:rPr>
          <w:rFonts w:hint="eastAsia"/>
          <w:b/>
          <w:lang w:val="en-GB" w:eastAsia="zh-CN"/>
        </w:rPr>
        <w:t>T</w:t>
      </w:r>
      <w:r>
        <w:rPr>
          <w:b/>
          <w:lang w:val="en-GB" w:eastAsia="zh-CN"/>
        </w:rPr>
        <w:t xml:space="preserve">S 38.331, section </w:t>
      </w:r>
      <w:r w:rsidRPr="000565F3">
        <w:rPr>
          <w:b/>
          <w:lang w:val="en-GB" w:eastAsia="zh-CN"/>
        </w:rPr>
        <w:t>5.7.4.</w:t>
      </w:r>
      <w:r>
        <w:rPr>
          <w:b/>
          <w:lang w:val="en-GB" w:eastAsia="zh-CN"/>
        </w:rPr>
        <w:t>1:</w:t>
      </w:r>
    </w:p>
    <w:p w14:paraId="4694269C" w14:textId="77777777" w:rsidR="000565F3" w:rsidRDefault="000565F3" w:rsidP="000565F3">
      <w:pPr>
        <w:rPr>
          <w:rFonts w:eastAsia="Times New Roman"/>
          <w:lang w:eastAsia="zh-CN"/>
        </w:rPr>
      </w:pPr>
      <w:r>
        <w:t xml:space="preserve">“A UE that has uplink data to transmit </w:t>
      </w:r>
      <w:r w:rsidRPr="000565F3">
        <w:rPr>
          <w:highlight w:val="yellow"/>
        </w:rPr>
        <w:t>for a DRB</w:t>
      </w:r>
      <w:r>
        <w:t xml:space="preserve"> for which there is no MCG RLC bearer while the SCG is deactivated shall initiate the procedure.”</w:t>
      </w:r>
    </w:p>
    <w:p w14:paraId="3C9A07C3" w14:textId="77777777" w:rsidR="000565F3" w:rsidRDefault="000565F3">
      <w:pPr>
        <w:spacing w:after="0"/>
        <w:rPr>
          <w:lang w:val="en-GB" w:eastAsia="zh-CN"/>
        </w:rPr>
      </w:pPr>
    </w:p>
    <w:p w14:paraId="7C289C8D" w14:textId="3A7C08A4" w:rsidR="000565F3" w:rsidRDefault="003F60E5">
      <w:pPr>
        <w:spacing w:after="0"/>
        <w:rPr>
          <w:lang w:val="en-GB" w:eastAsia="zh-CN"/>
        </w:rPr>
      </w:pPr>
      <w:r>
        <w:rPr>
          <w:lang w:val="en-GB" w:eastAsia="zh-CN"/>
        </w:rPr>
        <w:t>Based on the description above, it can be seen clearly that data indication is sent from the UE only for DRBs. Hence the current specifications are aligned with RAN2 agreement and no specification change is required.</w:t>
      </w:r>
    </w:p>
    <w:p w14:paraId="436459C3" w14:textId="47C1AE71" w:rsidR="003F60E5" w:rsidRPr="003F60E5" w:rsidRDefault="003F60E5" w:rsidP="0077311A">
      <w:pPr>
        <w:spacing w:afterLines="50" w:after="120"/>
        <w:rPr>
          <w:b/>
          <w:lang w:val="en-GB" w:eastAsia="zh-CN"/>
        </w:rPr>
      </w:pPr>
      <w:r>
        <w:rPr>
          <w:b/>
          <w:lang w:val="en-GB" w:eastAsia="zh-CN"/>
        </w:rPr>
        <w:lastRenderedPageBreak/>
        <w:t xml:space="preserve">Proposal 2: No specifications changes are needed for capturing the agreement that the </w:t>
      </w:r>
      <w:r w:rsidRPr="003F60E5">
        <w:rPr>
          <w:b/>
          <w:lang w:val="en-GB" w:eastAsia="zh-CN"/>
        </w:rPr>
        <w:t xml:space="preserve">UE indicates data availability </w:t>
      </w:r>
      <w:r>
        <w:rPr>
          <w:b/>
          <w:lang w:val="en-GB" w:eastAsia="zh-CN"/>
        </w:rPr>
        <w:t xml:space="preserve">only </w:t>
      </w:r>
      <w:r w:rsidRPr="003F60E5">
        <w:rPr>
          <w:b/>
          <w:lang w:val="en-GB" w:eastAsia="zh-CN"/>
        </w:rPr>
        <w:t>for DRBs when requesting SCG activation</w:t>
      </w:r>
      <w:r>
        <w:rPr>
          <w:b/>
          <w:lang w:val="en-GB" w:eastAsia="zh-CN"/>
        </w:rPr>
        <w:t>.</w:t>
      </w:r>
    </w:p>
    <w:p w14:paraId="20749A8C" w14:textId="77777777" w:rsidR="003F60E5" w:rsidRDefault="003F60E5">
      <w:pPr>
        <w:spacing w:after="0"/>
        <w:rPr>
          <w:lang w:val="en-GB" w:eastAsia="zh-CN"/>
        </w:rPr>
      </w:pPr>
    </w:p>
    <w:p w14:paraId="6D0912D0" w14:textId="73D200AF" w:rsidR="00393F77" w:rsidRDefault="008D04D0">
      <w:pPr>
        <w:spacing w:after="0"/>
        <w:rPr>
          <w:lang w:val="en-GB" w:eastAsia="zh-CN"/>
        </w:rPr>
      </w:pPr>
      <w:r>
        <w:rPr>
          <w:lang w:val="en-GB" w:eastAsia="zh-CN"/>
        </w:rPr>
        <w:t>For SCG related QoE measurements, if RVQoE reporting is continuous and important for SN, network can decide to not deactivate SCG. If SCG is deactivated and network still wants to collect RVQoE reports, network can either indicate UE to use SRB4 for doing that, or re-activate SCG again. In summary, we think network can take care of RVQoE reporting by its implementation</w:t>
      </w:r>
      <w:r w:rsidR="00D91C21">
        <w:rPr>
          <w:lang w:val="en-GB" w:eastAsia="zh-CN"/>
        </w:rPr>
        <w:t xml:space="preserve"> and there is no need to introduce any new indication or behaviour, as agreed in the previous meeting for encapsulated QoE already</w:t>
      </w:r>
      <w:r>
        <w:rPr>
          <w:lang w:val="en-GB" w:eastAsia="zh-CN"/>
        </w:rPr>
        <w:t>.</w:t>
      </w:r>
    </w:p>
    <w:p w14:paraId="4431FB43" w14:textId="127CBE9E" w:rsidR="00393F77" w:rsidRDefault="008D04D0" w:rsidP="0077311A">
      <w:pPr>
        <w:spacing w:afterLines="50" w:after="120"/>
        <w:rPr>
          <w:b/>
          <w:lang w:val="en-GB" w:eastAsia="zh-CN"/>
        </w:rPr>
      </w:pPr>
      <w:r>
        <w:rPr>
          <w:rFonts w:hint="eastAsia"/>
          <w:b/>
          <w:lang w:val="en-GB" w:eastAsia="zh-CN"/>
        </w:rPr>
        <w:t>P</w:t>
      </w:r>
      <w:r>
        <w:rPr>
          <w:b/>
          <w:lang w:val="en-GB" w:eastAsia="zh-CN"/>
        </w:rPr>
        <w:t xml:space="preserve">roposal 3: </w:t>
      </w:r>
      <w:r w:rsidR="00C70EBD">
        <w:rPr>
          <w:b/>
          <w:lang w:val="en-GB" w:eastAsia="zh-CN"/>
        </w:rPr>
        <w:t xml:space="preserve">For both </w:t>
      </w:r>
      <w:r w:rsidR="00C70EBD" w:rsidRPr="0077311A">
        <w:rPr>
          <w:b/>
          <w:lang w:val="en-GB" w:eastAsia="zh-CN"/>
        </w:rPr>
        <w:t>encapsulated QoE reports</w:t>
      </w:r>
      <w:r w:rsidR="00C70EBD">
        <w:rPr>
          <w:b/>
          <w:lang w:val="en-GB" w:eastAsia="zh-CN"/>
        </w:rPr>
        <w:t xml:space="preserve"> and RVQoE reports, the </w:t>
      </w:r>
      <w:r>
        <w:rPr>
          <w:b/>
          <w:lang w:val="en-GB" w:eastAsia="zh-CN"/>
        </w:rPr>
        <w:t>UE should not</w:t>
      </w:r>
      <w:r w:rsidR="00C70EBD">
        <w:rPr>
          <w:b/>
          <w:lang w:val="en-GB" w:eastAsia="zh-CN"/>
        </w:rPr>
        <w:t xml:space="preserve"> indicate data availability for SRB5 nor</w:t>
      </w:r>
      <w:r>
        <w:rPr>
          <w:b/>
          <w:lang w:val="en-GB" w:eastAsia="zh-CN"/>
        </w:rPr>
        <w:t xml:space="preserve"> request to activate SCG only for the purpose of QoE reporting via SRB5.</w:t>
      </w:r>
    </w:p>
    <w:bookmarkEnd w:id="3"/>
    <w:bookmarkEnd w:id="4"/>
    <w:bookmarkEnd w:id="5"/>
    <w:bookmarkEnd w:id="6"/>
    <w:p w14:paraId="4C810F82" w14:textId="77777777" w:rsidR="00393F77" w:rsidRDefault="008D04D0">
      <w:pPr>
        <w:pStyle w:val="1"/>
      </w:pPr>
      <w:r>
        <w:t>Conclusion</w:t>
      </w:r>
    </w:p>
    <w:p w14:paraId="0E3CC3B9" w14:textId="5B22A91D" w:rsidR="00393F77" w:rsidRDefault="008D04D0">
      <w:pPr>
        <w:rPr>
          <w:lang w:val="en-GB" w:eastAsia="zh-CN"/>
        </w:rPr>
      </w:pPr>
      <w:r>
        <w:rPr>
          <w:lang w:val="en-GB" w:eastAsia="zh-CN"/>
        </w:rPr>
        <w:t>Based on the discussion in this paper, the following proposals are made:</w:t>
      </w:r>
    </w:p>
    <w:p w14:paraId="3948C65A" w14:textId="77777777" w:rsidR="00C073EB" w:rsidRDefault="00C073EB" w:rsidP="0077311A">
      <w:pPr>
        <w:spacing w:afterLines="50" w:after="120"/>
        <w:rPr>
          <w:b/>
          <w:lang w:val="en-GB" w:eastAsia="zh-CN"/>
        </w:rPr>
      </w:pPr>
      <w:r>
        <w:rPr>
          <w:rFonts w:hint="eastAsia"/>
          <w:b/>
          <w:lang w:val="en-GB" w:eastAsia="zh-CN"/>
        </w:rPr>
        <w:t>P</w:t>
      </w:r>
      <w:r>
        <w:rPr>
          <w:b/>
          <w:lang w:val="en-GB" w:eastAsia="zh-CN"/>
        </w:rPr>
        <w:t xml:space="preserve">roposal 1: RAN2 to agree that for both encapsulated QoE and RVQoE associated with the non-receiving RAN node, MeasurementReportAppLayer message </w:t>
      </w:r>
      <w:r w:rsidRPr="0077311A">
        <w:rPr>
          <w:b/>
          <w:lang w:val="en-GB" w:eastAsia="zh-CN"/>
        </w:rPr>
        <w:t>is used</w:t>
      </w:r>
      <w:r>
        <w:rPr>
          <w:b/>
          <w:lang w:val="en-GB" w:eastAsia="zh-CN"/>
        </w:rPr>
        <w:t xml:space="preserve"> to send</w:t>
      </w:r>
      <w:r w:rsidRPr="0077311A">
        <w:rPr>
          <w:b/>
          <w:lang w:val="en-GB" w:eastAsia="zh-CN"/>
        </w:rPr>
        <w:t xml:space="preserve"> the report</w:t>
      </w:r>
      <w:r>
        <w:rPr>
          <w:b/>
          <w:lang w:val="en-GB" w:eastAsia="zh-CN"/>
        </w:rPr>
        <w:t xml:space="preserve"> to the receiving RAN node.</w:t>
      </w:r>
    </w:p>
    <w:p w14:paraId="2C82DD81" w14:textId="77777777" w:rsidR="00C073EB" w:rsidRPr="003F60E5" w:rsidRDefault="00C073EB" w:rsidP="0077311A">
      <w:pPr>
        <w:spacing w:afterLines="50" w:after="120"/>
        <w:rPr>
          <w:b/>
          <w:lang w:val="en-GB" w:eastAsia="zh-CN"/>
        </w:rPr>
      </w:pPr>
      <w:r>
        <w:rPr>
          <w:b/>
          <w:lang w:val="en-GB" w:eastAsia="zh-CN"/>
        </w:rPr>
        <w:t xml:space="preserve">Proposal 2: No specifications changes are needed for capturing the agreement that the </w:t>
      </w:r>
      <w:r w:rsidRPr="003F60E5">
        <w:rPr>
          <w:b/>
          <w:lang w:val="en-GB" w:eastAsia="zh-CN"/>
        </w:rPr>
        <w:t xml:space="preserve">UE indicates data availability </w:t>
      </w:r>
      <w:r>
        <w:rPr>
          <w:b/>
          <w:lang w:val="en-GB" w:eastAsia="zh-CN"/>
        </w:rPr>
        <w:t xml:space="preserve">only </w:t>
      </w:r>
      <w:r w:rsidRPr="003F60E5">
        <w:rPr>
          <w:b/>
          <w:lang w:val="en-GB" w:eastAsia="zh-CN"/>
        </w:rPr>
        <w:t>for DRBs when requesting SCG activation</w:t>
      </w:r>
      <w:r>
        <w:rPr>
          <w:b/>
          <w:lang w:val="en-GB" w:eastAsia="zh-CN"/>
        </w:rPr>
        <w:t>.</w:t>
      </w:r>
    </w:p>
    <w:p w14:paraId="107BE953" w14:textId="77777777" w:rsidR="00C073EB" w:rsidRDefault="00C073EB" w:rsidP="0077311A">
      <w:pPr>
        <w:spacing w:afterLines="50" w:after="120"/>
        <w:rPr>
          <w:b/>
          <w:lang w:val="en-GB" w:eastAsia="zh-CN"/>
        </w:rPr>
      </w:pPr>
      <w:r>
        <w:rPr>
          <w:rFonts w:hint="eastAsia"/>
          <w:b/>
          <w:lang w:val="en-GB" w:eastAsia="zh-CN"/>
        </w:rPr>
        <w:t>P</w:t>
      </w:r>
      <w:r>
        <w:rPr>
          <w:b/>
          <w:lang w:val="en-GB" w:eastAsia="zh-CN"/>
        </w:rPr>
        <w:t xml:space="preserve">roposal 3: For both </w:t>
      </w:r>
      <w:r w:rsidRPr="0077311A">
        <w:rPr>
          <w:b/>
          <w:lang w:val="en-GB" w:eastAsia="zh-CN"/>
        </w:rPr>
        <w:t>encapsulated QoE reports</w:t>
      </w:r>
      <w:r>
        <w:rPr>
          <w:b/>
          <w:lang w:val="en-GB" w:eastAsia="zh-CN"/>
        </w:rPr>
        <w:t xml:space="preserve"> and RVQoE reports, the UE should not indicate data availability for SRB5 nor request to activate SCG only for the purpose of QoE reporting via SRB5.</w:t>
      </w:r>
    </w:p>
    <w:bookmarkEnd w:id="2"/>
    <w:p w14:paraId="0E2B1510" w14:textId="77777777" w:rsidR="00393F77" w:rsidRDefault="00393F77">
      <w:pPr>
        <w:spacing w:after="0"/>
        <w:rPr>
          <w:b/>
          <w:lang w:val="en-GB" w:eastAsia="zh-CN"/>
        </w:rPr>
      </w:pPr>
    </w:p>
    <w:p w14:paraId="25D3B68B" w14:textId="77777777" w:rsidR="00393F77" w:rsidRDefault="008D04D0">
      <w:pPr>
        <w:pStyle w:val="1"/>
      </w:pPr>
      <w:r>
        <w:t>References</w:t>
      </w:r>
    </w:p>
    <w:p w14:paraId="460EC105" w14:textId="77777777" w:rsidR="00393F77" w:rsidRDefault="008D04D0">
      <w:pPr>
        <w:rPr>
          <w:lang w:val="en-GB" w:eastAsia="zh-CN"/>
        </w:rPr>
      </w:pPr>
      <w:r>
        <w:rPr>
          <w:rFonts w:hint="eastAsia"/>
          <w:lang w:val="en-GB" w:eastAsia="zh-CN"/>
        </w:rPr>
        <w:t>[</w:t>
      </w:r>
      <w:r>
        <w:rPr>
          <w:lang w:val="en-GB" w:eastAsia="zh-CN"/>
        </w:rPr>
        <w:t>1]  Draft_R2_123_meeting_report_v1</w:t>
      </w:r>
    </w:p>
    <w:p w14:paraId="3F0FC471" w14:textId="77777777" w:rsidR="00393F77" w:rsidRDefault="008D04D0">
      <w:pPr>
        <w:rPr>
          <w:lang w:val="en-GB" w:eastAsia="zh-CN"/>
        </w:rPr>
      </w:pPr>
      <w:r>
        <w:rPr>
          <w:rFonts w:hint="eastAsia"/>
          <w:lang w:val="en-GB" w:eastAsia="zh-CN"/>
        </w:rPr>
        <w:t>[</w:t>
      </w:r>
      <w:r>
        <w:rPr>
          <w:lang w:val="en-GB" w:eastAsia="zh-CN"/>
        </w:rPr>
        <w:t>2]  R3-234750, LS on RAN3 progress on QoE in NR-DC</w:t>
      </w:r>
      <w:r>
        <w:rPr>
          <w:rFonts w:hint="eastAsia"/>
          <w:lang w:val="en-GB" w:eastAsia="zh-CN"/>
        </w:rPr>
        <w:t>,</w:t>
      </w:r>
      <w:r>
        <w:rPr>
          <w:lang w:val="en-GB" w:eastAsia="zh-CN"/>
        </w:rPr>
        <w:t xml:space="preserve"> Source: RAN3, To: RAN2</w:t>
      </w:r>
    </w:p>
    <w:p w14:paraId="5AF004E8" w14:textId="77777777" w:rsidR="00393F77" w:rsidRDefault="00393F77">
      <w:pPr>
        <w:rPr>
          <w:b/>
          <w:lang w:val="en-GB" w:eastAsia="zh-CN"/>
        </w:rPr>
      </w:pPr>
    </w:p>
    <w:sectPr w:rsidR="00393F77">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65157" w14:textId="77777777" w:rsidR="008E5B40" w:rsidRDefault="008E5B40">
      <w:pPr>
        <w:spacing w:after="0" w:line="240" w:lineRule="auto"/>
      </w:pPr>
      <w:r>
        <w:separator/>
      </w:r>
    </w:p>
  </w:endnote>
  <w:endnote w:type="continuationSeparator" w:id="0">
    <w:p w14:paraId="7BF85049" w14:textId="77777777" w:rsidR="008E5B40" w:rsidRDefault="008E5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D7C95" w14:textId="77777777" w:rsidR="00393F77" w:rsidRDefault="008D04D0">
    <w:pPr>
      <w:pStyle w:val="ac"/>
      <w:jc w:val="center"/>
    </w:pPr>
    <w:r>
      <w:fldChar w:fldCharType="begin"/>
    </w:r>
    <w:r>
      <w:instrText xml:space="preserve"> PAGE   \* MERGEFORMAT </w:instrText>
    </w:r>
    <w:r>
      <w:fldChar w:fldCharType="separate"/>
    </w:r>
    <w:r>
      <w:t>3</w:t>
    </w:r>
    <w:r>
      <w:fldChar w:fldCharType="end"/>
    </w:r>
  </w:p>
  <w:p w14:paraId="34313613" w14:textId="77777777" w:rsidR="00393F77" w:rsidRDefault="00393F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09CC" w14:textId="77777777" w:rsidR="008E5B40" w:rsidRDefault="008E5B40">
      <w:pPr>
        <w:spacing w:after="0" w:line="240" w:lineRule="auto"/>
      </w:pPr>
      <w:r>
        <w:separator/>
      </w:r>
    </w:p>
  </w:footnote>
  <w:footnote w:type="continuationSeparator" w:id="0">
    <w:p w14:paraId="3E49FD64" w14:textId="77777777" w:rsidR="008E5B40" w:rsidRDefault="008E5B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51377A9"/>
    <w:multiLevelType w:val="multilevel"/>
    <w:tmpl w:val="C60E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1" w15:restartNumberingAfterBreak="0">
    <w:nsid w:val="7FB5257A"/>
    <w:multiLevelType w:val="multilevel"/>
    <w:tmpl w:val="7FB5257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0"/>
  </w:num>
  <w:num w:numId="4">
    <w:abstractNumId w:val="1"/>
  </w:num>
  <w:num w:numId="5">
    <w:abstractNumId w:val="10"/>
  </w:num>
  <w:num w:numId="6">
    <w:abstractNumId w:val="5"/>
  </w:num>
  <w:num w:numId="7">
    <w:abstractNumId w:val="4"/>
  </w:num>
  <w:num w:numId="8">
    <w:abstractNumId w:val="9"/>
  </w:num>
  <w:num w:numId="9">
    <w:abstractNumId w:val="6"/>
  </w:num>
  <w:num w:numId="10">
    <w:abstractNumId w:val="2"/>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FD737B0F"/>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DE4"/>
    <w:rsid w:val="00012E25"/>
    <w:rsid w:val="00012E73"/>
    <w:rsid w:val="00013FAB"/>
    <w:rsid w:val="000142A3"/>
    <w:rsid w:val="000143B2"/>
    <w:rsid w:val="00015532"/>
    <w:rsid w:val="00015718"/>
    <w:rsid w:val="000158DD"/>
    <w:rsid w:val="000168E4"/>
    <w:rsid w:val="00016AD4"/>
    <w:rsid w:val="0001707C"/>
    <w:rsid w:val="0001748B"/>
    <w:rsid w:val="00017F0D"/>
    <w:rsid w:val="0002017B"/>
    <w:rsid w:val="0002031F"/>
    <w:rsid w:val="000203BF"/>
    <w:rsid w:val="00021603"/>
    <w:rsid w:val="00021763"/>
    <w:rsid w:val="000219E8"/>
    <w:rsid w:val="00021B29"/>
    <w:rsid w:val="00022105"/>
    <w:rsid w:val="00022F96"/>
    <w:rsid w:val="00023A7A"/>
    <w:rsid w:val="00023B32"/>
    <w:rsid w:val="00024911"/>
    <w:rsid w:val="00025743"/>
    <w:rsid w:val="000265F6"/>
    <w:rsid w:val="0002662C"/>
    <w:rsid w:val="00026A37"/>
    <w:rsid w:val="00027290"/>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226"/>
    <w:rsid w:val="0004667E"/>
    <w:rsid w:val="00047403"/>
    <w:rsid w:val="0004752B"/>
    <w:rsid w:val="0005070C"/>
    <w:rsid w:val="00050EE6"/>
    <w:rsid w:val="00051053"/>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65F3"/>
    <w:rsid w:val="00057C27"/>
    <w:rsid w:val="00060253"/>
    <w:rsid w:val="00061289"/>
    <w:rsid w:val="0006188F"/>
    <w:rsid w:val="00061A41"/>
    <w:rsid w:val="00061F61"/>
    <w:rsid w:val="00062093"/>
    <w:rsid w:val="000627D9"/>
    <w:rsid w:val="00062D14"/>
    <w:rsid w:val="000635DD"/>
    <w:rsid w:val="0006385A"/>
    <w:rsid w:val="00063996"/>
    <w:rsid w:val="00063BBE"/>
    <w:rsid w:val="00063D9D"/>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6BFA"/>
    <w:rsid w:val="000C731B"/>
    <w:rsid w:val="000C76EE"/>
    <w:rsid w:val="000C7989"/>
    <w:rsid w:val="000C7D11"/>
    <w:rsid w:val="000D0318"/>
    <w:rsid w:val="000D06B8"/>
    <w:rsid w:val="000D08C1"/>
    <w:rsid w:val="000D0F7B"/>
    <w:rsid w:val="000D1602"/>
    <w:rsid w:val="000D21FB"/>
    <w:rsid w:val="000D3063"/>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612"/>
    <w:rsid w:val="00103C73"/>
    <w:rsid w:val="00105DBB"/>
    <w:rsid w:val="00105DCB"/>
    <w:rsid w:val="00105FA0"/>
    <w:rsid w:val="00106100"/>
    <w:rsid w:val="00106458"/>
    <w:rsid w:val="001069F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3AD"/>
    <w:rsid w:val="001178D0"/>
    <w:rsid w:val="00117AD4"/>
    <w:rsid w:val="00117D49"/>
    <w:rsid w:val="00120321"/>
    <w:rsid w:val="0012038E"/>
    <w:rsid w:val="00120527"/>
    <w:rsid w:val="00120B28"/>
    <w:rsid w:val="00120CC2"/>
    <w:rsid w:val="0012106E"/>
    <w:rsid w:val="001221A2"/>
    <w:rsid w:val="001227F5"/>
    <w:rsid w:val="00122C8A"/>
    <w:rsid w:val="00122E95"/>
    <w:rsid w:val="001235F1"/>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71A"/>
    <w:rsid w:val="00140974"/>
    <w:rsid w:val="00140E5A"/>
    <w:rsid w:val="0014138B"/>
    <w:rsid w:val="00141C7C"/>
    <w:rsid w:val="00141DE9"/>
    <w:rsid w:val="00142ED8"/>
    <w:rsid w:val="00143240"/>
    <w:rsid w:val="001441EE"/>
    <w:rsid w:val="00144313"/>
    <w:rsid w:val="001451B2"/>
    <w:rsid w:val="001456F1"/>
    <w:rsid w:val="001458F1"/>
    <w:rsid w:val="00145B50"/>
    <w:rsid w:val="00145BEF"/>
    <w:rsid w:val="00145FDE"/>
    <w:rsid w:val="00146236"/>
    <w:rsid w:val="00146F0B"/>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5F4"/>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42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7"/>
    <w:rsid w:val="00194E98"/>
    <w:rsid w:val="00196067"/>
    <w:rsid w:val="00196762"/>
    <w:rsid w:val="00196961"/>
    <w:rsid w:val="00197EE1"/>
    <w:rsid w:val="001A050A"/>
    <w:rsid w:val="001A0F4A"/>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526D"/>
    <w:rsid w:val="001B5356"/>
    <w:rsid w:val="001B5387"/>
    <w:rsid w:val="001B545D"/>
    <w:rsid w:val="001B6328"/>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94E"/>
    <w:rsid w:val="001E2586"/>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0B9"/>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4BDF"/>
    <w:rsid w:val="00205AF0"/>
    <w:rsid w:val="00205C92"/>
    <w:rsid w:val="00205DD5"/>
    <w:rsid w:val="002075FB"/>
    <w:rsid w:val="00207C86"/>
    <w:rsid w:val="002102D9"/>
    <w:rsid w:val="002116B7"/>
    <w:rsid w:val="00211992"/>
    <w:rsid w:val="00213278"/>
    <w:rsid w:val="002144C3"/>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3CBB"/>
    <w:rsid w:val="0022418D"/>
    <w:rsid w:val="0022425F"/>
    <w:rsid w:val="00224634"/>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64D"/>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1BDD"/>
    <w:rsid w:val="00252787"/>
    <w:rsid w:val="0025295F"/>
    <w:rsid w:val="00252B31"/>
    <w:rsid w:val="00252BAC"/>
    <w:rsid w:val="002539E3"/>
    <w:rsid w:val="00253B8C"/>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322A"/>
    <w:rsid w:val="00274330"/>
    <w:rsid w:val="00274473"/>
    <w:rsid w:val="002752BF"/>
    <w:rsid w:val="0027614C"/>
    <w:rsid w:val="00276319"/>
    <w:rsid w:val="002764BC"/>
    <w:rsid w:val="0027684B"/>
    <w:rsid w:val="002770F3"/>
    <w:rsid w:val="00277278"/>
    <w:rsid w:val="00277671"/>
    <w:rsid w:val="00277DBD"/>
    <w:rsid w:val="00277EA5"/>
    <w:rsid w:val="002806C8"/>
    <w:rsid w:val="00280ADA"/>
    <w:rsid w:val="00280DA0"/>
    <w:rsid w:val="002812D4"/>
    <w:rsid w:val="002813D2"/>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966B2"/>
    <w:rsid w:val="00297C10"/>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2BA"/>
    <w:rsid w:val="002C335A"/>
    <w:rsid w:val="002C38EF"/>
    <w:rsid w:val="002C4047"/>
    <w:rsid w:val="002C40A0"/>
    <w:rsid w:val="002C4349"/>
    <w:rsid w:val="002C48CE"/>
    <w:rsid w:val="002C494C"/>
    <w:rsid w:val="002C5D5A"/>
    <w:rsid w:val="002C661D"/>
    <w:rsid w:val="002C6B38"/>
    <w:rsid w:val="002C7067"/>
    <w:rsid w:val="002C7503"/>
    <w:rsid w:val="002C7716"/>
    <w:rsid w:val="002C7874"/>
    <w:rsid w:val="002D0B99"/>
    <w:rsid w:val="002D0EF5"/>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8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23D6"/>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3AA"/>
    <w:rsid w:val="0031666A"/>
    <w:rsid w:val="00317660"/>
    <w:rsid w:val="00317C94"/>
    <w:rsid w:val="00317DD6"/>
    <w:rsid w:val="00320701"/>
    <w:rsid w:val="00320769"/>
    <w:rsid w:val="0032086C"/>
    <w:rsid w:val="00321D48"/>
    <w:rsid w:val="0032253E"/>
    <w:rsid w:val="003226BD"/>
    <w:rsid w:val="00322880"/>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AD6"/>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5ED5"/>
    <w:rsid w:val="0036630E"/>
    <w:rsid w:val="003666F7"/>
    <w:rsid w:val="00366A3A"/>
    <w:rsid w:val="00367FBB"/>
    <w:rsid w:val="00371B4E"/>
    <w:rsid w:val="003723EC"/>
    <w:rsid w:val="00372643"/>
    <w:rsid w:val="00372952"/>
    <w:rsid w:val="00372B10"/>
    <w:rsid w:val="00372EB5"/>
    <w:rsid w:val="00372FFB"/>
    <w:rsid w:val="00373455"/>
    <w:rsid w:val="00373456"/>
    <w:rsid w:val="0037354F"/>
    <w:rsid w:val="00373B48"/>
    <w:rsid w:val="003743C1"/>
    <w:rsid w:val="00375447"/>
    <w:rsid w:val="00375A07"/>
    <w:rsid w:val="00376045"/>
    <w:rsid w:val="0037614E"/>
    <w:rsid w:val="00376207"/>
    <w:rsid w:val="00376B81"/>
    <w:rsid w:val="003771A0"/>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3F77"/>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396"/>
    <w:rsid w:val="003C34C4"/>
    <w:rsid w:val="003C365E"/>
    <w:rsid w:val="003C3710"/>
    <w:rsid w:val="003C3DD3"/>
    <w:rsid w:val="003C42D1"/>
    <w:rsid w:val="003C5592"/>
    <w:rsid w:val="003C5702"/>
    <w:rsid w:val="003C5A92"/>
    <w:rsid w:val="003C5CF1"/>
    <w:rsid w:val="003C5DDC"/>
    <w:rsid w:val="003C6535"/>
    <w:rsid w:val="003C693F"/>
    <w:rsid w:val="003C713F"/>
    <w:rsid w:val="003C7834"/>
    <w:rsid w:val="003C78B6"/>
    <w:rsid w:val="003D03B5"/>
    <w:rsid w:val="003D1092"/>
    <w:rsid w:val="003D130F"/>
    <w:rsid w:val="003D18C5"/>
    <w:rsid w:val="003D1C0D"/>
    <w:rsid w:val="003D2AB7"/>
    <w:rsid w:val="003D2BD7"/>
    <w:rsid w:val="003D3148"/>
    <w:rsid w:val="003D33D3"/>
    <w:rsid w:val="003D47AF"/>
    <w:rsid w:val="003D4BD5"/>
    <w:rsid w:val="003D5853"/>
    <w:rsid w:val="003D6894"/>
    <w:rsid w:val="003D71E1"/>
    <w:rsid w:val="003D7930"/>
    <w:rsid w:val="003E04CA"/>
    <w:rsid w:val="003E08AB"/>
    <w:rsid w:val="003E0F9E"/>
    <w:rsid w:val="003E1973"/>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0E5"/>
    <w:rsid w:val="003F6872"/>
    <w:rsid w:val="003F68F9"/>
    <w:rsid w:val="003F77E1"/>
    <w:rsid w:val="003F7C8D"/>
    <w:rsid w:val="003F7D0E"/>
    <w:rsid w:val="00400042"/>
    <w:rsid w:val="004003B6"/>
    <w:rsid w:val="0040074C"/>
    <w:rsid w:val="0040151E"/>
    <w:rsid w:val="004017FA"/>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CAE"/>
    <w:rsid w:val="00411EF1"/>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617"/>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1078"/>
    <w:rsid w:val="00442B2E"/>
    <w:rsid w:val="00442C5B"/>
    <w:rsid w:val="00442D38"/>
    <w:rsid w:val="004435E8"/>
    <w:rsid w:val="0044374E"/>
    <w:rsid w:val="00444FFB"/>
    <w:rsid w:val="004452B1"/>
    <w:rsid w:val="004466BD"/>
    <w:rsid w:val="00446E3F"/>
    <w:rsid w:val="00452029"/>
    <w:rsid w:val="00452088"/>
    <w:rsid w:val="004520D3"/>
    <w:rsid w:val="00452540"/>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2F58"/>
    <w:rsid w:val="004639B0"/>
    <w:rsid w:val="0046477B"/>
    <w:rsid w:val="00464FDC"/>
    <w:rsid w:val="00465EC6"/>
    <w:rsid w:val="0046610F"/>
    <w:rsid w:val="0046651D"/>
    <w:rsid w:val="00466D2B"/>
    <w:rsid w:val="004676F2"/>
    <w:rsid w:val="00467BBE"/>
    <w:rsid w:val="004718B6"/>
    <w:rsid w:val="00472EFD"/>
    <w:rsid w:val="0047442B"/>
    <w:rsid w:val="00474C7B"/>
    <w:rsid w:val="00474F1D"/>
    <w:rsid w:val="004757D9"/>
    <w:rsid w:val="00477401"/>
    <w:rsid w:val="004801BF"/>
    <w:rsid w:val="0048031E"/>
    <w:rsid w:val="004805D5"/>
    <w:rsid w:val="004826B7"/>
    <w:rsid w:val="004830D3"/>
    <w:rsid w:val="0048336F"/>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882"/>
    <w:rsid w:val="00493E77"/>
    <w:rsid w:val="004951E2"/>
    <w:rsid w:val="004956CE"/>
    <w:rsid w:val="00495910"/>
    <w:rsid w:val="00496B94"/>
    <w:rsid w:val="00496E86"/>
    <w:rsid w:val="004978EF"/>
    <w:rsid w:val="004A0233"/>
    <w:rsid w:val="004A19B1"/>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1E5"/>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4D02"/>
    <w:rsid w:val="004B5A6A"/>
    <w:rsid w:val="004B6508"/>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924"/>
    <w:rsid w:val="004D2B1F"/>
    <w:rsid w:val="004D3C11"/>
    <w:rsid w:val="004D3D7C"/>
    <w:rsid w:val="004D3DE9"/>
    <w:rsid w:val="004D48D6"/>
    <w:rsid w:val="004D4921"/>
    <w:rsid w:val="004D4B0A"/>
    <w:rsid w:val="004D4D67"/>
    <w:rsid w:val="004D557A"/>
    <w:rsid w:val="004D7803"/>
    <w:rsid w:val="004D7D32"/>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824"/>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2D8"/>
    <w:rsid w:val="0051381F"/>
    <w:rsid w:val="005142C5"/>
    <w:rsid w:val="0051430C"/>
    <w:rsid w:val="00514D0C"/>
    <w:rsid w:val="00516091"/>
    <w:rsid w:val="005173FC"/>
    <w:rsid w:val="00517430"/>
    <w:rsid w:val="0051773A"/>
    <w:rsid w:val="00517CF6"/>
    <w:rsid w:val="00517E7B"/>
    <w:rsid w:val="00520827"/>
    <w:rsid w:val="005209C0"/>
    <w:rsid w:val="0052174B"/>
    <w:rsid w:val="00521DB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869"/>
    <w:rsid w:val="005378EB"/>
    <w:rsid w:val="00537AF4"/>
    <w:rsid w:val="00537C48"/>
    <w:rsid w:val="00540556"/>
    <w:rsid w:val="00540627"/>
    <w:rsid w:val="005408FE"/>
    <w:rsid w:val="005419C5"/>
    <w:rsid w:val="00541AD0"/>
    <w:rsid w:val="00541B7A"/>
    <w:rsid w:val="00542503"/>
    <w:rsid w:val="00542B65"/>
    <w:rsid w:val="00542BD7"/>
    <w:rsid w:val="00542C34"/>
    <w:rsid w:val="00544D84"/>
    <w:rsid w:val="0054593B"/>
    <w:rsid w:val="00545C1B"/>
    <w:rsid w:val="00546CA0"/>
    <w:rsid w:val="00547281"/>
    <w:rsid w:val="00547996"/>
    <w:rsid w:val="00547FAE"/>
    <w:rsid w:val="005500B9"/>
    <w:rsid w:val="0055027B"/>
    <w:rsid w:val="00550950"/>
    <w:rsid w:val="00550D82"/>
    <w:rsid w:val="00550EAE"/>
    <w:rsid w:val="005510C8"/>
    <w:rsid w:val="005514E5"/>
    <w:rsid w:val="0055262D"/>
    <w:rsid w:val="00552DD4"/>
    <w:rsid w:val="00552E5A"/>
    <w:rsid w:val="00552F9B"/>
    <w:rsid w:val="005530F3"/>
    <w:rsid w:val="0055355A"/>
    <w:rsid w:val="00553959"/>
    <w:rsid w:val="00553BDD"/>
    <w:rsid w:val="00554529"/>
    <w:rsid w:val="0055488C"/>
    <w:rsid w:val="005549AD"/>
    <w:rsid w:val="0055546C"/>
    <w:rsid w:val="00555553"/>
    <w:rsid w:val="005555EC"/>
    <w:rsid w:val="00555D65"/>
    <w:rsid w:val="00555FF6"/>
    <w:rsid w:val="00556A7F"/>
    <w:rsid w:val="00556BC5"/>
    <w:rsid w:val="00556C71"/>
    <w:rsid w:val="00556E5C"/>
    <w:rsid w:val="00556F1C"/>
    <w:rsid w:val="0055736E"/>
    <w:rsid w:val="0056020C"/>
    <w:rsid w:val="0056098F"/>
    <w:rsid w:val="005610E5"/>
    <w:rsid w:val="00561950"/>
    <w:rsid w:val="00561BFD"/>
    <w:rsid w:val="00562BA0"/>
    <w:rsid w:val="005633B6"/>
    <w:rsid w:val="0056421B"/>
    <w:rsid w:val="00564542"/>
    <w:rsid w:val="00564C2A"/>
    <w:rsid w:val="00565B7F"/>
    <w:rsid w:val="005673A9"/>
    <w:rsid w:val="00570148"/>
    <w:rsid w:val="00570503"/>
    <w:rsid w:val="00571045"/>
    <w:rsid w:val="0057165E"/>
    <w:rsid w:val="00571662"/>
    <w:rsid w:val="0057220C"/>
    <w:rsid w:val="00572776"/>
    <w:rsid w:val="00572A62"/>
    <w:rsid w:val="00572B39"/>
    <w:rsid w:val="00572BC5"/>
    <w:rsid w:val="00572D20"/>
    <w:rsid w:val="00573BA3"/>
    <w:rsid w:val="005748C7"/>
    <w:rsid w:val="00574CD8"/>
    <w:rsid w:val="00575C1C"/>
    <w:rsid w:val="00576106"/>
    <w:rsid w:val="00576673"/>
    <w:rsid w:val="00576778"/>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4878"/>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3A2"/>
    <w:rsid w:val="005B5911"/>
    <w:rsid w:val="005B7316"/>
    <w:rsid w:val="005B76FD"/>
    <w:rsid w:val="005B7B36"/>
    <w:rsid w:val="005C041D"/>
    <w:rsid w:val="005C0C5D"/>
    <w:rsid w:val="005C0DAE"/>
    <w:rsid w:val="005C16A4"/>
    <w:rsid w:val="005C2201"/>
    <w:rsid w:val="005C2665"/>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4B4F"/>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E86"/>
    <w:rsid w:val="00600F1A"/>
    <w:rsid w:val="00601341"/>
    <w:rsid w:val="006015CD"/>
    <w:rsid w:val="006038B7"/>
    <w:rsid w:val="00603A51"/>
    <w:rsid w:val="00603C0A"/>
    <w:rsid w:val="0060439C"/>
    <w:rsid w:val="0060453A"/>
    <w:rsid w:val="006054A7"/>
    <w:rsid w:val="00606545"/>
    <w:rsid w:val="006075E0"/>
    <w:rsid w:val="006104FA"/>
    <w:rsid w:val="00611857"/>
    <w:rsid w:val="00612226"/>
    <w:rsid w:val="00612C26"/>
    <w:rsid w:val="0061321C"/>
    <w:rsid w:val="006147CE"/>
    <w:rsid w:val="00614E55"/>
    <w:rsid w:val="00615A99"/>
    <w:rsid w:val="0061645C"/>
    <w:rsid w:val="00616BA0"/>
    <w:rsid w:val="00616C90"/>
    <w:rsid w:val="00616F05"/>
    <w:rsid w:val="00617B1C"/>
    <w:rsid w:val="00620004"/>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530"/>
    <w:rsid w:val="0064084C"/>
    <w:rsid w:val="00640C25"/>
    <w:rsid w:val="006413B0"/>
    <w:rsid w:val="006415F0"/>
    <w:rsid w:val="00641DA2"/>
    <w:rsid w:val="00642684"/>
    <w:rsid w:val="006426CA"/>
    <w:rsid w:val="00642723"/>
    <w:rsid w:val="00642834"/>
    <w:rsid w:val="00642E66"/>
    <w:rsid w:val="0064403F"/>
    <w:rsid w:val="0064433F"/>
    <w:rsid w:val="00644CC5"/>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77D36"/>
    <w:rsid w:val="006806C4"/>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2F"/>
    <w:rsid w:val="00694EC5"/>
    <w:rsid w:val="006950D9"/>
    <w:rsid w:val="006956B7"/>
    <w:rsid w:val="00695B02"/>
    <w:rsid w:val="0069658D"/>
    <w:rsid w:val="006A0486"/>
    <w:rsid w:val="006A06AC"/>
    <w:rsid w:val="006A0AFD"/>
    <w:rsid w:val="006A1957"/>
    <w:rsid w:val="006A260E"/>
    <w:rsid w:val="006A2FF1"/>
    <w:rsid w:val="006A3505"/>
    <w:rsid w:val="006A4140"/>
    <w:rsid w:val="006A4182"/>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D24"/>
    <w:rsid w:val="006D62F3"/>
    <w:rsid w:val="006D6CB1"/>
    <w:rsid w:val="006E056A"/>
    <w:rsid w:val="006E09CA"/>
    <w:rsid w:val="006E13E7"/>
    <w:rsid w:val="006E1537"/>
    <w:rsid w:val="006E18A2"/>
    <w:rsid w:val="006E246F"/>
    <w:rsid w:val="006E3670"/>
    <w:rsid w:val="006E3E31"/>
    <w:rsid w:val="006E53EC"/>
    <w:rsid w:val="006E5A26"/>
    <w:rsid w:val="006E5A7C"/>
    <w:rsid w:val="006E5A85"/>
    <w:rsid w:val="006E5B16"/>
    <w:rsid w:val="006E5E8C"/>
    <w:rsid w:val="006E6075"/>
    <w:rsid w:val="006E6F14"/>
    <w:rsid w:val="006E75C5"/>
    <w:rsid w:val="006E7B54"/>
    <w:rsid w:val="006F02CD"/>
    <w:rsid w:val="006F0F47"/>
    <w:rsid w:val="006F126A"/>
    <w:rsid w:val="006F3742"/>
    <w:rsid w:val="006F4716"/>
    <w:rsid w:val="006F5421"/>
    <w:rsid w:val="006F6513"/>
    <w:rsid w:val="006F6744"/>
    <w:rsid w:val="006F69D3"/>
    <w:rsid w:val="006F729A"/>
    <w:rsid w:val="00700461"/>
    <w:rsid w:val="007007B1"/>
    <w:rsid w:val="007009C2"/>
    <w:rsid w:val="00700E1A"/>
    <w:rsid w:val="0070153A"/>
    <w:rsid w:val="00701A2C"/>
    <w:rsid w:val="00701AB4"/>
    <w:rsid w:val="00701C12"/>
    <w:rsid w:val="00701D12"/>
    <w:rsid w:val="00703432"/>
    <w:rsid w:val="00703B0C"/>
    <w:rsid w:val="0070442D"/>
    <w:rsid w:val="00704A47"/>
    <w:rsid w:val="00704C3A"/>
    <w:rsid w:val="00704C7C"/>
    <w:rsid w:val="00704F7F"/>
    <w:rsid w:val="00706C74"/>
    <w:rsid w:val="00706CFD"/>
    <w:rsid w:val="0070751B"/>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6A3"/>
    <w:rsid w:val="00726A1A"/>
    <w:rsid w:val="00727D47"/>
    <w:rsid w:val="0073018E"/>
    <w:rsid w:val="007301B0"/>
    <w:rsid w:val="00730A66"/>
    <w:rsid w:val="00730B5A"/>
    <w:rsid w:val="00731AA6"/>
    <w:rsid w:val="00732465"/>
    <w:rsid w:val="0073247C"/>
    <w:rsid w:val="00732703"/>
    <w:rsid w:val="00732A8E"/>
    <w:rsid w:val="00733C77"/>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B30"/>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0A9A"/>
    <w:rsid w:val="007711C9"/>
    <w:rsid w:val="00771D80"/>
    <w:rsid w:val="00771F62"/>
    <w:rsid w:val="0077311A"/>
    <w:rsid w:val="0077416C"/>
    <w:rsid w:val="0077439C"/>
    <w:rsid w:val="00774A7E"/>
    <w:rsid w:val="007761C4"/>
    <w:rsid w:val="00776FA3"/>
    <w:rsid w:val="0077740C"/>
    <w:rsid w:val="00777D62"/>
    <w:rsid w:val="0078105A"/>
    <w:rsid w:val="00781603"/>
    <w:rsid w:val="0078176E"/>
    <w:rsid w:val="00782AB2"/>
    <w:rsid w:val="00782DCC"/>
    <w:rsid w:val="007835BC"/>
    <w:rsid w:val="007838BD"/>
    <w:rsid w:val="007841F8"/>
    <w:rsid w:val="00784ED0"/>
    <w:rsid w:val="007850E3"/>
    <w:rsid w:val="007852C1"/>
    <w:rsid w:val="007853A0"/>
    <w:rsid w:val="0078599B"/>
    <w:rsid w:val="00785B0B"/>
    <w:rsid w:val="00785F84"/>
    <w:rsid w:val="007865CB"/>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4E09"/>
    <w:rsid w:val="00796915"/>
    <w:rsid w:val="00796E27"/>
    <w:rsid w:val="007973E6"/>
    <w:rsid w:val="007A0963"/>
    <w:rsid w:val="007A0D55"/>
    <w:rsid w:val="007A1336"/>
    <w:rsid w:val="007A18A9"/>
    <w:rsid w:val="007A2B2E"/>
    <w:rsid w:val="007A2F62"/>
    <w:rsid w:val="007A464C"/>
    <w:rsid w:val="007A5431"/>
    <w:rsid w:val="007A58DE"/>
    <w:rsid w:val="007A5FD1"/>
    <w:rsid w:val="007A614B"/>
    <w:rsid w:val="007A6EC1"/>
    <w:rsid w:val="007A7BD1"/>
    <w:rsid w:val="007A7FC8"/>
    <w:rsid w:val="007B04E9"/>
    <w:rsid w:val="007B0C98"/>
    <w:rsid w:val="007B0FC4"/>
    <w:rsid w:val="007B1A19"/>
    <w:rsid w:val="007B2273"/>
    <w:rsid w:val="007B2398"/>
    <w:rsid w:val="007B29F7"/>
    <w:rsid w:val="007B3501"/>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1C59"/>
    <w:rsid w:val="007E2091"/>
    <w:rsid w:val="007E265F"/>
    <w:rsid w:val="007E2965"/>
    <w:rsid w:val="007E4262"/>
    <w:rsid w:val="007E53EB"/>
    <w:rsid w:val="007E57B1"/>
    <w:rsid w:val="007E623F"/>
    <w:rsid w:val="007E6D2E"/>
    <w:rsid w:val="007E712F"/>
    <w:rsid w:val="007E7600"/>
    <w:rsid w:val="007F01A1"/>
    <w:rsid w:val="007F08EE"/>
    <w:rsid w:val="007F0D34"/>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0640F"/>
    <w:rsid w:val="008067D8"/>
    <w:rsid w:val="008102B0"/>
    <w:rsid w:val="00810F09"/>
    <w:rsid w:val="00811CBD"/>
    <w:rsid w:val="00811D72"/>
    <w:rsid w:val="00812398"/>
    <w:rsid w:val="008125A1"/>
    <w:rsid w:val="008127D3"/>
    <w:rsid w:val="00812BF9"/>
    <w:rsid w:val="008143A7"/>
    <w:rsid w:val="008145FC"/>
    <w:rsid w:val="00814FD5"/>
    <w:rsid w:val="0081557D"/>
    <w:rsid w:val="00816078"/>
    <w:rsid w:val="00816B49"/>
    <w:rsid w:val="00817810"/>
    <w:rsid w:val="00817F86"/>
    <w:rsid w:val="008207BC"/>
    <w:rsid w:val="00820E1C"/>
    <w:rsid w:val="00820F48"/>
    <w:rsid w:val="00821485"/>
    <w:rsid w:val="00821B3C"/>
    <w:rsid w:val="008227B0"/>
    <w:rsid w:val="00822D6D"/>
    <w:rsid w:val="00823EFB"/>
    <w:rsid w:val="008241D6"/>
    <w:rsid w:val="00824BFA"/>
    <w:rsid w:val="00824DA2"/>
    <w:rsid w:val="00825CA1"/>
    <w:rsid w:val="00826CAF"/>
    <w:rsid w:val="008275AB"/>
    <w:rsid w:val="00827892"/>
    <w:rsid w:val="008279F7"/>
    <w:rsid w:val="00827C15"/>
    <w:rsid w:val="00827DDA"/>
    <w:rsid w:val="00830639"/>
    <w:rsid w:val="00830C71"/>
    <w:rsid w:val="00830C90"/>
    <w:rsid w:val="008314F4"/>
    <w:rsid w:val="00832980"/>
    <w:rsid w:val="008332FB"/>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6D94"/>
    <w:rsid w:val="0085740C"/>
    <w:rsid w:val="008578DC"/>
    <w:rsid w:val="00857B5F"/>
    <w:rsid w:val="00857F2B"/>
    <w:rsid w:val="00860327"/>
    <w:rsid w:val="00860AD2"/>
    <w:rsid w:val="0086104E"/>
    <w:rsid w:val="008612AB"/>
    <w:rsid w:val="008616AA"/>
    <w:rsid w:val="00861B47"/>
    <w:rsid w:val="00862079"/>
    <w:rsid w:val="008620EC"/>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21E"/>
    <w:rsid w:val="00882FA0"/>
    <w:rsid w:val="00883032"/>
    <w:rsid w:val="00883B30"/>
    <w:rsid w:val="0088484B"/>
    <w:rsid w:val="00884D2C"/>
    <w:rsid w:val="00884FF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5A6A"/>
    <w:rsid w:val="00896435"/>
    <w:rsid w:val="00896EC3"/>
    <w:rsid w:val="008A019E"/>
    <w:rsid w:val="008A04CB"/>
    <w:rsid w:val="008A073F"/>
    <w:rsid w:val="008A0C52"/>
    <w:rsid w:val="008A1274"/>
    <w:rsid w:val="008A278F"/>
    <w:rsid w:val="008A323F"/>
    <w:rsid w:val="008A32B9"/>
    <w:rsid w:val="008A36F6"/>
    <w:rsid w:val="008A50C3"/>
    <w:rsid w:val="008A5568"/>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0F38"/>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04D0"/>
    <w:rsid w:val="008D34EC"/>
    <w:rsid w:val="008D57CC"/>
    <w:rsid w:val="008D71D0"/>
    <w:rsid w:val="008D7566"/>
    <w:rsid w:val="008D7629"/>
    <w:rsid w:val="008D7968"/>
    <w:rsid w:val="008D7D20"/>
    <w:rsid w:val="008E00C4"/>
    <w:rsid w:val="008E026D"/>
    <w:rsid w:val="008E0AA6"/>
    <w:rsid w:val="008E0C67"/>
    <w:rsid w:val="008E0E92"/>
    <w:rsid w:val="008E0F01"/>
    <w:rsid w:val="008E1355"/>
    <w:rsid w:val="008E1A59"/>
    <w:rsid w:val="008E1FF2"/>
    <w:rsid w:val="008E25EB"/>
    <w:rsid w:val="008E2909"/>
    <w:rsid w:val="008E33A9"/>
    <w:rsid w:val="008E3EA6"/>
    <w:rsid w:val="008E531D"/>
    <w:rsid w:val="008E5B40"/>
    <w:rsid w:val="008E64C0"/>
    <w:rsid w:val="008E6DDC"/>
    <w:rsid w:val="008E6EA0"/>
    <w:rsid w:val="008F0615"/>
    <w:rsid w:val="008F2437"/>
    <w:rsid w:val="008F2B2C"/>
    <w:rsid w:val="008F356C"/>
    <w:rsid w:val="008F3ADE"/>
    <w:rsid w:val="008F45D0"/>
    <w:rsid w:val="008F471A"/>
    <w:rsid w:val="008F4B6A"/>
    <w:rsid w:val="008F51BF"/>
    <w:rsid w:val="008F5E4E"/>
    <w:rsid w:val="008F745F"/>
    <w:rsid w:val="008F7661"/>
    <w:rsid w:val="00900048"/>
    <w:rsid w:val="0090098C"/>
    <w:rsid w:val="00900AC9"/>
    <w:rsid w:val="00900F18"/>
    <w:rsid w:val="00900FC0"/>
    <w:rsid w:val="009013AE"/>
    <w:rsid w:val="00901CD6"/>
    <w:rsid w:val="00902650"/>
    <w:rsid w:val="0090268E"/>
    <w:rsid w:val="00903DA0"/>
    <w:rsid w:val="00904141"/>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28B"/>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5FA3"/>
    <w:rsid w:val="00936214"/>
    <w:rsid w:val="0093667E"/>
    <w:rsid w:val="00936726"/>
    <w:rsid w:val="00936745"/>
    <w:rsid w:val="00936C29"/>
    <w:rsid w:val="009412AD"/>
    <w:rsid w:val="00941AB6"/>
    <w:rsid w:val="009427A0"/>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3EF"/>
    <w:rsid w:val="00967D89"/>
    <w:rsid w:val="00967F67"/>
    <w:rsid w:val="00970E37"/>
    <w:rsid w:val="00971D00"/>
    <w:rsid w:val="00972030"/>
    <w:rsid w:val="00972172"/>
    <w:rsid w:val="00972DDE"/>
    <w:rsid w:val="00973127"/>
    <w:rsid w:val="00973A64"/>
    <w:rsid w:val="00974867"/>
    <w:rsid w:val="00974976"/>
    <w:rsid w:val="00974BEF"/>
    <w:rsid w:val="00974BF0"/>
    <w:rsid w:val="00975494"/>
    <w:rsid w:val="00975720"/>
    <w:rsid w:val="00975A1A"/>
    <w:rsid w:val="009806FB"/>
    <w:rsid w:val="00981046"/>
    <w:rsid w:val="0098172A"/>
    <w:rsid w:val="0098260D"/>
    <w:rsid w:val="00983613"/>
    <w:rsid w:val="00983A0B"/>
    <w:rsid w:val="0098463E"/>
    <w:rsid w:val="00990A56"/>
    <w:rsid w:val="00990D1F"/>
    <w:rsid w:val="0099115A"/>
    <w:rsid w:val="009927B8"/>
    <w:rsid w:val="009939FD"/>
    <w:rsid w:val="00993EA2"/>
    <w:rsid w:val="00994C86"/>
    <w:rsid w:val="00996185"/>
    <w:rsid w:val="0099624F"/>
    <w:rsid w:val="00996536"/>
    <w:rsid w:val="00996B08"/>
    <w:rsid w:val="009975C1"/>
    <w:rsid w:val="0099798B"/>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1E01"/>
    <w:rsid w:val="009B225F"/>
    <w:rsid w:val="009B2270"/>
    <w:rsid w:val="009B2B5D"/>
    <w:rsid w:val="009B378C"/>
    <w:rsid w:val="009B3D84"/>
    <w:rsid w:val="009B45E1"/>
    <w:rsid w:val="009B49FA"/>
    <w:rsid w:val="009B4F72"/>
    <w:rsid w:val="009B5343"/>
    <w:rsid w:val="009B53A4"/>
    <w:rsid w:val="009B5B85"/>
    <w:rsid w:val="009B6D1C"/>
    <w:rsid w:val="009B6F6A"/>
    <w:rsid w:val="009B71FB"/>
    <w:rsid w:val="009B74DA"/>
    <w:rsid w:val="009B7ACC"/>
    <w:rsid w:val="009C1120"/>
    <w:rsid w:val="009C16CD"/>
    <w:rsid w:val="009C20CC"/>
    <w:rsid w:val="009C266F"/>
    <w:rsid w:val="009C26B4"/>
    <w:rsid w:val="009C2703"/>
    <w:rsid w:val="009C29AE"/>
    <w:rsid w:val="009C3308"/>
    <w:rsid w:val="009C39A7"/>
    <w:rsid w:val="009C412D"/>
    <w:rsid w:val="009C47A2"/>
    <w:rsid w:val="009C4DB1"/>
    <w:rsid w:val="009C5F4A"/>
    <w:rsid w:val="009C6E2F"/>
    <w:rsid w:val="009C77F0"/>
    <w:rsid w:val="009C79D1"/>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07"/>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628"/>
    <w:rsid w:val="00A11E82"/>
    <w:rsid w:val="00A120AF"/>
    <w:rsid w:val="00A13163"/>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44B8"/>
    <w:rsid w:val="00A25629"/>
    <w:rsid w:val="00A25853"/>
    <w:rsid w:val="00A25AB6"/>
    <w:rsid w:val="00A3052A"/>
    <w:rsid w:val="00A309A2"/>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54FE"/>
    <w:rsid w:val="00A465FA"/>
    <w:rsid w:val="00A468E7"/>
    <w:rsid w:val="00A46A65"/>
    <w:rsid w:val="00A46CAC"/>
    <w:rsid w:val="00A46EB4"/>
    <w:rsid w:val="00A47EE9"/>
    <w:rsid w:val="00A507E4"/>
    <w:rsid w:val="00A509EA"/>
    <w:rsid w:val="00A517ED"/>
    <w:rsid w:val="00A51AF8"/>
    <w:rsid w:val="00A51EA8"/>
    <w:rsid w:val="00A52716"/>
    <w:rsid w:val="00A5279C"/>
    <w:rsid w:val="00A53529"/>
    <w:rsid w:val="00A5393A"/>
    <w:rsid w:val="00A55A2D"/>
    <w:rsid w:val="00A55CAE"/>
    <w:rsid w:val="00A55E63"/>
    <w:rsid w:val="00A56082"/>
    <w:rsid w:val="00A5660F"/>
    <w:rsid w:val="00A57A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491"/>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631"/>
    <w:rsid w:val="00A9199F"/>
    <w:rsid w:val="00A9223F"/>
    <w:rsid w:val="00A924FF"/>
    <w:rsid w:val="00A92EF6"/>
    <w:rsid w:val="00A9304F"/>
    <w:rsid w:val="00A9335D"/>
    <w:rsid w:val="00A93FD7"/>
    <w:rsid w:val="00A94D18"/>
    <w:rsid w:val="00A94E61"/>
    <w:rsid w:val="00A956A7"/>
    <w:rsid w:val="00A95DA6"/>
    <w:rsid w:val="00A97E0E"/>
    <w:rsid w:val="00AA0023"/>
    <w:rsid w:val="00AA0A9F"/>
    <w:rsid w:val="00AA0E18"/>
    <w:rsid w:val="00AA1C27"/>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17"/>
    <w:rsid w:val="00AB6B2E"/>
    <w:rsid w:val="00AB6CA0"/>
    <w:rsid w:val="00AC06C1"/>
    <w:rsid w:val="00AC0ACC"/>
    <w:rsid w:val="00AC1910"/>
    <w:rsid w:val="00AC1EC5"/>
    <w:rsid w:val="00AC278A"/>
    <w:rsid w:val="00AC32A5"/>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12F3"/>
    <w:rsid w:val="00AF2787"/>
    <w:rsid w:val="00AF2999"/>
    <w:rsid w:val="00AF29A6"/>
    <w:rsid w:val="00AF38DB"/>
    <w:rsid w:val="00AF3DBA"/>
    <w:rsid w:val="00AF4099"/>
    <w:rsid w:val="00AF41F1"/>
    <w:rsid w:val="00AF5493"/>
    <w:rsid w:val="00AF5A91"/>
    <w:rsid w:val="00AF5C59"/>
    <w:rsid w:val="00AF5F94"/>
    <w:rsid w:val="00AF7480"/>
    <w:rsid w:val="00AF7AA6"/>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5DAE"/>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27CE6"/>
    <w:rsid w:val="00B30041"/>
    <w:rsid w:val="00B307F0"/>
    <w:rsid w:val="00B30B28"/>
    <w:rsid w:val="00B31EB8"/>
    <w:rsid w:val="00B32A2D"/>
    <w:rsid w:val="00B33363"/>
    <w:rsid w:val="00B3368E"/>
    <w:rsid w:val="00B3472F"/>
    <w:rsid w:val="00B355E8"/>
    <w:rsid w:val="00B35702"/>
    <w:rsid w:val="00B35CCC"/>
    <w:rsid w:val="00B36458"/>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47935"/>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3C2E"/>
    <w:rsid w:val="00B65174"/>
    <w:rsid w:val="00B65292"/>
    <w:rsid w:val="00B656DF"/>
    <w:rsid w:val="00B66543"/>
    <w:rsid w:val="00B667C6"/>
    <w:rsid w:val="00B669CF"/>
    <w:rsid w:val="00B66C93"/>
    <w:rsid w:val="00B66E94"/>
    <w:rsid w:val="00B67F78"/>
    <w:rsid w:val="00B70FDE"/>
    <w:rsid w:val="00B7111C"/>
    <w:rsid w:val="00B72C4F"/>
    <w:rsid w:val="00B737A7"/>
    <w:rsid w:val="00B738A2"/>
    <w:rsid w:val="00B74251"/>
    <w:rsid w:val="00B747B1"/>
    <w:rsid w:val="00B749DA"/>
    <w:rsid w:val="00B74B25"/>
    <w:rsid w:val="00B74E6D"/>
    <w:rsid w:val="00B7577F"/>
    <w:rsid w:val="00B76698"/>
    <w:rsid w:val="00B7731A"/>
    <w:rsid w:val="00B7771E"/>
    <w:rsid w:val="00B8046B"/>
    <w:rsid w:val="00B80CAD"/>
    <w:rsid w:val="00B80D89"/>
    <w:rsid w:val="00B8164D"/>
    <w:rsid w:val="00B81865"/>
    <w:rsid w:val="00B82B1B"/>
    <w:rsid w:val="00B82BFF"/>
    <w:rsid w:val="00B83331"/>
    <w:rsid w:val="00B83AF1"/>
    <w:rsid w:val="00B83E63"/>
    <w:rsid w:val="00B84AC8"/>
    <w:rsid w:val="00B84BEA"/>
    <w:rsid w:val="00B85AB7"/>
    <w:rsid w:val="00B85FF5"/>
    <w:rsid w:val="00B860B5"/>
    <w:rsid w:val="00B86455"/>
    <w:rsid w:val="00B86AA8"/>
    <w:rsid w:val="00B86F5A"/>
    <w:rsid w:val="00B87D1B"/>
    <w:rsid w:val="00B9030E"/>
    <w:rsid w:val="00B90446"/>
    <w:rsid w:val="00B904AC"/>
    <w:rsid w:val="00B90595"/>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4DE8"/>
    <w:rsid w:val="00B9563A"/>
    <w:rsid w:val="00B95779"/>
    <w:rsid w:val="00B960EA"/>
    <w:rsid w:val="00B96580"/>
    <w:rsid w:val="00B96E19"/>
    <w:rsid w:val="00B970AF"/>
    <w:rsid w:val="00B97AE7"/>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71A"/>
    <w:rsid w:val="00BB4DB0"/>
    <w:rsid w:val="00BB4E75"/>
    <w:rsid w:val="00BB5585"/>
    <w:rsid w:val="00BB5D14"/>
    <w:rsid w:val="00BB6230"/>
    <w:rsid w:val="00BB7568"/>
    <w:rsid w:val="00BC0653"/>
    <w:rsid w:val="00BC1360"/>
    <w:rsid w:val="00BC1ADA"/>
    <w:rsid w:val="00BC22E2"/>
    <w:rsid w:val="00BC2623"/>
    <w:rsid w:val="00BC2660"/>
    <w:rsid w:val="00BC2BC1"/>
    <w:rsid w:val="00BC2D37"/>
    <w:rsid w:val="00BC3421"/>
    <w:rsid w:val="00BC3665"/>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2971"/>
    <w:rsid w:val="00BD2BD1"/>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3EB"/>
    <w:rsid w:val="00C079B3"/>
    <w:rsid w:val="00C07C15"/>
    <w:rsid w:val="00C10104"/>
    <w:rsid w:val="00C10AF2"/>
    <w:rsid w:val="00C116F9"/>
    <w:rsid w:val="00C11E86"/>
    <w:rsid w:val="00C12346"/>
    <w:rsid w:val="00C12673"/>
    <w:rsid w:val="00C12A13"/>
    <w:rsid w:val="00C12DC0"/>
    <w:rsid w:val="00C1351E"/>
    <w:rsid w:val="00C13610"/>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0F4B"/>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31"/>
    <w:rsid w:val="00C519CA"/>
    <w:rsid w:val="00C52884"/>
    <w:rsid w:val="00C529B7"/>
    <w:rsid w:val="00C53791"/>
    <w:rsid w:val="00C53C2D"/>
    <w:rsid w:val="00C54CCA"/>
    <w:rsid w:val="00C55E60"/>
    <w:rsid w:val="00C567B8"/>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0737"/>
    <w:rsid w:val="00C70EBD"/>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558C"/>
    <w:rsid w:val="00C85F36"/>
    <w:rsid w:val="00C8755D"/>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ACF"/>
    <w:rsid w:val="00C97DAD"/>
    <w:rsid w:val="00C97E07"/>
    <w:rsid w:val="00CA0B09"/>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BB0"/>
    <w:rsid w:val="00CB4C20"/>
    <w:rsid w:val="00CB4FBE"/>
    <w:rsid w:val="00CB5094"/>
    <w:rsid w:val="00CB5141"/>
    <w:rsid w:val="00CB5DE7"/>
    <w:rsid w:val="00CB61A1"/>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3DA"/>
    <w:rsid w:val="00CD7B38"/>
    <w:rsid w:val="00CE01E4"/>
    <w:rsid w:val="00CE0A09"/>
    <w:rsid w:val="00CE298A"/>
    <w:rsid w:val="00CE2C57"/>
    <w:rsid w:val="00CE327F"/>
    <w:rsid w:val="00CE37ED"/>
    <w:rsid w:val="00CE38FC"/>
    <w:rsid w:val="00CE3D11"/>
    <w:rsid w:val="00CE3DC7"/>
    <w:rsid w:val="00CE6A98"/>
    <w:rsid w:val="00CE7E84"/>
    <w:rsid w:val="00CE7EDB"/>
    <w:rsid w:val="00CF2A9E"/>
    <w:rsid w:val="00CF2C1D"/>
    <w:rsid w:val="00CF2FD1"/>
    <w:rsid w:val="00CF30A0"/>
    <w:rsid w:val="00CF4744"/>
    <w:rsid w:val="00CF4F6B"/>
    <w:rsid w:val="00CF5C47"/>
    <w:rsid w:val="00CF621D"/>
    <w:rsid w:val="00CF7FAA"/>
    <w:rsid w:val="00D00EDD"/>
    <w:rsid w:val="00D019EA"/>
    <w:rsid w:val="00D01B5F"/>
    <w:rsid w:val="00D02344"/>
    <w:rsid w:val="00D029B3"/>
    <w:rsid w:val="00D0313D"/>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28C"/>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72D"/>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3FD8"/>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1C21"/>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183"/>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3B6F"/>
    <w:rsid w:val="00DC4970"/>
    <w:rsid w:val="00DC4F2A"/>
    <w:rsid w:val="00DC5179"/>
    <w:rsid w:val="00DC5622"/>
    <w:rsid w:val="00DC59FA"/>
    <w:rsid w:val="00DC5DC5"/>
    <w:rsid w:val="00DC6062"/>
    <w:rsid w:val="00DC69A9"/>
    <w:rsid w:val="00DC7C73"/>
    <w:rsid w:val="00DD0195"/>
    <w:rsid w:val="00DD0730"/>
    <w:rsid w:val="00DD0F74"/>
    <w:rsid w:val="00DD2155"/>
    <w:rsid w:val="00DD24E8"/>
    <w:rsid w:val="00DD27CF"/>
    <w:rsid w:val="00DD2E46"/>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51A"/>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38"/>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578"/>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06B3"/>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47B"/>
    <w:rsid w:val="00E346D0"/>
    <w:rsid w:val="00E34766"/>
    <w:rsid w:val="00E34D07"/>
    <w:rsid w:val="00E35243"/>
    <w:rsid w:val="00E358E4"/>
    <w:rsid w:val="00E366A9"/>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8C8"/>
    <w:rsid w:val="00E469CF"/>
    <w:rsid w:val="00E46A36"/>
    <w:rsid w:val="00E46DC4"/>
    <w:rsid w:val="00E46F60"/>
    <w:rsid w:val="00E4702A"/>
    <w:rsid w:val="00E47158"/>
    <w:rsid w:val="00E47B24"/>
    <w:rsid w:val="00E47B6A"/>
    <w:rsid w:val="00E47E6F"/>
    <w:rsid w:val="00E47F93"/>
    <w:rsid w:val="00E50552"/>
    <w:rsid w:val="00E5058D"/>
    <w:rsid w:val="00E5073A"/>
    <w:rsid w:val="00E50EAC"/>
    <w:rsid w:val="00E50F3E"/>
    <w:rsid w:val="00E513C5"/>
    <w:rsid w:val="00E53093"/>
    <w:rsid w:val="00E530BD"/>
    <w:rsid w:val="00E5385A"/>
    <w:rsid w:val="00E53C02"/>
    <w:rsid w:val="00E547ED"/>
    <w:rsid w:val="00E55135"/>
    <w:rsid w:val="00E5581A"/>
    <w:rsid w:val="00E55852"/>
    <w:rsid w:val="00E55B95"/>
    <w:rsid w:val="00E55D00"/>
    <w:rsid w:val="00E55D40"/>
    <w:rsid w:val="00E567A1"/>
    <w:rsid w:val="00E56961"/>
    <w:rsid w:val="00E56ADB"/>
    <w:rsid w:val="00E56D46"/>
    <w:rsid w:val="00E57D95"/>
    <w:rsid w:val="00E60435"/>
    <w:rsid w:val="00E61197"/>
    <w:rsid w:val="00E6176E"/>
    <w:rsid w:val="00E619AB"/>
    <w:rsid w:val="00E61B46"/>
    <w:rsid w:val="00E620A6"/>
    <w:rsid w:val="00E62DD0"/>
    <w:rsid w:val="00E6367C"/>
    <w:rsid w:val="00E64AFB"/>
    <w:rsid w:val="00E64E91"/>
    <w:rsid w:val="00E65075"/>
    <w:rsid w:val="00E65AEB"/>
    <w:rsid w:val="00E66395"/>
    <w:rsid w:val="00E67866"/>
    <w:rsid w:val="00E67D23"/>
    <w:rsid w:val="00E70267"/>
    <w:rsid w:val="00E70FB7"/>
    <w:rsid w:val="00E71467"/>
    <w:rsid w:val="00E71621"/>
    <w:rsid w:val="00E71D93"/>
    <w:rsid w:val="00E7262A"/>
    <w:rsid w:val="00E72EA8"/>
    <w:rsid w:val="00E72EEE"/>
    <w:rsid w:val="00E7324D"/>
    <w:rsid w:val="00E73C43"/>
    <w:rsid w:val="00E74212"/>
    <w:rsid w:val="00E74A28"/>
    <w:rsid w:val="00E75C42"/>
    <w:rsid w:val="00E75D0E"/>
    <w:rsid w:val="00E76855"/>
    <w:rsid w:val="00E769E9"/>
    <w:rsid w:val="00E76B0E"/>
    <w:rsid w:val="00E76E7D"/>
    <w:rsid w:val="00E8025A"/>
    <w:rsid w:val="00E80CBB"/>
    <w:rsid w:val="00E81036"/>
    <w:rsid w:val="00E8165E"/>
    <w:rsid w:val="00E817AB"/>
    <w:rsid w:val="00E818A1"/>
    <w:rsid w:val="00E82A73"/>
    <w:rsid w:val="00E82B7D"/>
    <w:rsid w:val="00E82DA4"/>
    <w:rsid w:val="00E82EEF"/>
    <w:rsid w:val="00E82F86"/>
    <w:rsid w:val="00E83503"/>
    <w:rsid w:val="00E83CE9"/>
    <w:rsid w:val="00E83DF5"/>
    <w:rsid w:val="00E84306"/>
    <w:rsid w:val="00E8453F"/>
    <w:rsid w:val="00E85068"/>
    <w:rsid w:val="00E85554"/>
    <w:rsid w:val="00E85627"/>
    <w:rsid w:val="00E86205"/>
    <w:rsid w:val="00E87476"/>
    <w:rsid w:val="00E878FC"/>
    <w:rsid w:val="00E87EDF"/>
    <w:rsid w:val="00E90772"/>
    <w:rsid w:val="00E90816"/>
    <w:rsid w:val="00E90C46"/>
    <w:rsid w:val="00E90D7C"/>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BFA"/>
    <w:rsid w:val="00EA0CF5"/>
    <w:rsid w:val="00EA15E4"/>
    <w:rsid w:val="00EA1EC9"/>
    <w:rsid w:val="00EA20B4"/>
    <w:rsid w:val="00EA2B4F"/>
    <w:rsid w:val="00EA3630"/>
    <w:rsid w:val="00EA439A"/>
    <w:rsid w:val="00EA50DB"/>
    <w:rsid w:val="00EA57BC"/>
    <w:rsid w:val="00EA74F8"/>
    <w:rsid w:val="00EA78CD"/>
    <w:rsid w:val="00EA79F6"/>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85E"/>
    <w:rsid w:val="00EC3961"/>
    <w:rsid w:val="00EC3F35"/>
    <w:rsid w:val="00EC44B4"/>
    <w:rsid w:val="00EC4743"/>
    <w:rsid w:val="00EC4B57"/>
    <w:rsid w:val="00EC4B74"/>
    <w:rsid w:val="00EC69D5"/>
    <w:rsid w:val="00ED0CCA"/>
    <w:rsid w:val="00ED17E7"/>
    <w:rsid w:val="00ED1816"/>
    <w:rsid w:val="00ED1A8E"/>
    <w:rsid w:val="00ED22D3"/>
    <w:rsid w:val="00ED252E"/>
    <w:rsid w:val="00ED25AC"/>
    <w:rsid w:val="00ED29EE"/>
    <w:rsid w:val="00ED4926"/>
    <w:rsid w:val="00ED49BE"/>
    <w:rsid w:val="00ED4F2B"/>
    <w:rsid w:val="00ED5150"/>
    <w:rsid w:val="00ED56FC"/>
    <w:rsid w:val="00ED629E"/>
    <w:rsid w:val="00ED7BE5"/>
    <w:rsid w:val="00ED7EC1"/>
    <w:rsid w:val="00EE0A36"/>
    <w:rsid w:val="00EE1487"/>
    <w:rsid w:val="00EE1791"/>
    <w:rsid w:val="00EE235D"/>
    <w:rsid w:val="00EE3035"/>
    <w:rsid w:val="00EE3C24"/>
    <w:rsid w:val="00EE4BEB"/>
    <w:rsid w:val="00EE560E"/>
    <w:rsid w:val="00EE5915"/>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770"/>
    <w:rsid w:val="00F04CE7"/>
    <w:rsid w:val="00F051F1"/>
    <w:rsid w:val="00F05F19"/>
    <w:rsid w:val="00F0604D"/>
    <w:rsid w:val="00F0646B"/>
    <w:rsid w:val="00F06BB1"/>
    <w:rsid w:val="00F0778F"/>
    <w:rsid w:val="00F1121D"/>
    <w:rsid w:val="00F1146C"/>
    <w:rsid w:val="00F11F74"/>
    <w:rsid w:val="00F12BDA"/>
    <w:rsid w:val="00F1556D"/>
    <w:rsid w:val="00F1560F"/>
    <w:rsid w:val="00F15D6E"/>
    <w:rsid w:val="00F16BC6"/>
    <w:rsid w:val="00F16BC8"/>
    <w:rsid w:val="00F16C53"/>
    <w:rsid w:val="00F17717"/>
    <w:rsid w:val="00F1779D"/>
    <w:rsid w:val="00F204B9"/>
    <w:rsid w:val="00F20E9F"/>
    <w:rsid w:val="00F21D12"/>
    <w:rsid w:val="00F22961"/>
    <w:rsid w:val="00F23D3C"/>
    <w:rsid w:val="00F24B25"/>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CF3"/>
    <w:rsid w:val="00F37FD9"/>
    <w:rsid w:val="00F412A5"/>
    <w:rsid w:val="00F42AFB"/>
    <w:rsid w:val="00F42BA8"/>
    <w:rsid w:val="00F43190"/>
    <w:rsid w:val="00F43AD9"/>
    <w:rsid w:val="00F45149"/>
    <w:rsid w:val="00F459FB"/>
    <w:rsid w:val="00F45EC0"/>
    <w:rsid w:val="00F4688C"/>
    <w:rsid w:val="00F46FFE"/>
    <w:rsid w:val="00F47842"/>
    <w:rsid w:val="00F47B6A"/>
    <w:rsid w:val="00F47E25"/>
    <w:rsid w:val="00F50143"/>
    <w:rsid w:val="00F50347"/>
    <w:rsid w:val="00F50B83"/>
    <w:rsid w:val="00F50C44"/>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BB4"/>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0DA9"/>
    <w:rsid w:val="00F8197B"/>
    <w:rsid w:val="00F819D2"/>
    <w:rsid w:val="00F81BA0"/>
    <w:rsid w:val="00F8221E"/>
    <w:rsid w:val="00F82C7B"/>
    <w:rsid w:val="00F82E4E"/>
    <w:rsid w:val="00F834CE"/>
    <w:rsid w:val="00F83A51"/>
    <w:rsid w:val="00F83D44"/>
    <w:rsid w:val="00F848EE"/>
    <w:rsid w:val="00F84FCD"/>
    <w:rsid w:val="00F85D24"/>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9B6"/>
    <w:rsid w:val="00FC1E5B"/>
    <w:rsid w:val="00FC39A9"/>
    <w:rsid w:val="00FC3A06"/>
    <w:rsid w:val="00FC4234"/>
    <w:rsid w:val="00FC429F"/>
    <w:rsid w:val="00FC7072"/>
    <w:rsid w:val="00FC72CA"/>
    <w:rsid w:val="00FC7581"/>
    <w:rsid w:val="00FC7A3C"/>
    <w:rsid w:val="00FC7F67"/>
    <w:rsid w:val="00FD04EB"/>
    <w:rsid w:val="00FD102F"/>
    <w:rsid w:val="00FD1E43"/>
    <w:rsid w:val="00FD20A7"/>
    <w:rsid w:val="00FD257C"/>
    <w:rsid w:val="00FD25DE"/>
    <w:rsid w:val="00FD266F"/>
    <w:rsid w:val="00FD3090"/>
    <w:rsid w:val="00FD3E47"/>
    <w:rsid w:val="00FD3F72"/>
    <w:rsid w:val="00FD4267"/>
    <w:rsid w:val="00FD49C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9C5"/>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A3BF04D"/>
    <w:rsid w:val="7CEFBF59"/>
    <w:rsid w:val="7E822530"/>
    <w:rsid w:val="7FAF82B7"/>
    <w:rsid w:val="7FFF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AFD93B"/>
  <w15:docId w15:val="{1C37928F-42C3-40F8-B8AA-425C43B54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65F3"/>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qFormat/>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qFormat/>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qFormat/>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15">
    <w:name w:val="15"/>
    <w:rPr>
      <w:rFonts w:ascii="CG Times (WN)" w:hAnsi="CG Times (WN)" w:hint="default"/>
      <w:color w:val="0000FF"/>
      <w:u w:val="single"/>
    </w:rPr>
  </w:style>
  <w:style w:type="character" w:customStyle="1" w:styleId="B3Char2">
    <w:name w:val="B3 Char2"/>
    <w:qFormat/>
    <w:rPr>
      <w:rFonts w:eastAsia="Times New Roman"/>
      <w:lang w:val="en-GB" w:eastAsia="ja-JP"/>
    </w:rPr>
  </w:style>
  <w:style w:type="paragraph" w:customStyle="1" w:styleId="Proposallist">
    <w:name w:val="Proposal list"/>
    <w:basedOn w:val="Proposal"/>
    <w:link w:val="ProposallistChar"/>
    <w:qFormat/>
    <w:pPr>
      <w:tabs>
        <w:tab w:val="left" w:pos="1560"/>
      </w:tabs>
      <w:overflowPunct/>
      <w:autoSpaceDE/>
      <w:autoSpaceDN/>
      <w:adjustRightInd/>
      <w:spacing w:line="240" w:lineRule="auto"/>
      <w:ind w:left="1560" w:hanging="1134"/>
      <w:jc w:val="left"/>
    </w:pPr>
    <w:rPr>
      <w:rFonts w:eastAsia="Times New Roman"/>
      <w:b/>
    </w:rPr>
  </w:style>
  <w:style w:type="character" w:customStyle="1" w:styleId="ProposallistChar">
    <w:name w:val="Proposal list Char"/>
    <w:basedOn w:val="ProposalChar"/>
    <w:link w:val="Proposallist"/>
    <w:rPr>
      <w:rFonts w:ascii="Times New Roman" w:eastAsia="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5846">
      <w:bodyDiv w:val="1"/>
      <w:marLeft w:val="0"/>
      <w:marRight w:val="0"/>
      <w:marTop w:val="0"/>
      <w:marBottom w:val="0"/>
      <w:divBdr>
        <w:top w:val="none" w:sz="0" w:space="0" w:color="auto"/>
        <w:left w:val="none" w:sz="0" w:space="0" w:color="auto"/>
        <w:bottom w:val="none" w:sz="0" w:space="0" w:color="auto"/>
        <w:right w:val="none" w:sz="0" w:space="0" w:color="auto"/>
      </w:divBdr>
    </w:div>
    <w:div w:id="856310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12</cp:revision>
  <dcterms:created xsi:type="dcterms:W3CDTF">2023-08-04T18:18:00Z</dcterms:created>
  <dcterms:modified xsi:type="dcterms:W3CDTF">2023-09-29T01:49:00Z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(3)ZmILfg6iLZQcKDPXS+fjfoZIMTQ88V+WF7RCVlvpMDhgrkYlAxXQgvu58Nu2SsDgF+PGavNU
Wbqol/O6IDsVWMQiuzeKynms90YAywfHqrxedyHPLBtwEMHAKLKs8YJH/sMaykxdE7xZGI66
+KMmlPXWPGXnGBjPiSxyAM3p5fJFoi9WkGeGmh9HyxXUYea+g5QKQbVSoqnw8PbWV5/VJnvl
5bFUafI4WcGoQpFCSo</vt:lpwstr>
  </property>
  <property fmtid="{D5CDD505-2E9C-101B-9397-08002B2CF9AE}" pid="7" name="_2015_ms_pID_7253431">
    <vt:lpwstr>sR3UvLJA785PBNR0ifiBI7aaew5ObWY43TQdWvwl3s1R8it7kZCMuw
lfRc0X8/3Tf4BfL7ckH4IKDDRKqr30L38YxooBgTJ1CBrHYo9Tqoey82Ngl4VRwBVrTAF6pT
M1C1Xd16JzS6PTZmIvvLEZHiXdbXTsRfexcJ1nLUNpYo4tCMYhUZ5GPUjuFgDXu/xQUfFGeE
paLAjgvzXmiCd4ZYPAd8gfBuiirm9zgXIH0c</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kEzJ4n0eAw7GpSCMaRnCuNo=</vt:lpwstr>
  </property>
</Properties>
</file>